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</w:t>
      </w:r>
    </w:p>
    <w:p w:rsidR="00BE4B25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C14FCD" w:rsidRPr="0090391A" w:rsidRDefault="00C14FCD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C14FCD" w:rsidRDefault="00C14FCD" w:rsidP="00C14F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bCs/>
          <w:shd w:val="clear" w:color="auto" w:fill="FFFFFF"/>
        </w:rPr>
        <w:t xml:space="preserve">Отчет </w:t>
      </w:r>
      <w:r w:rsidRPr="00C14FCD">
        <w:rPr>
          <w:rFonts w:ascii="Times New Roman" w:hAnsi="Times New Roman"/>
          <w:b/>
          <w:lang w:eastAsia="ru-RU"/>
        </w:rPr>
        <w:t xml:space="preserve">об исполнении Инвестиционной программы </w:t>
      </w:r>
    </w:p>
    <w:p w:rsidR="00C14FCD" w:rsidRPr="00C14FCD" w:rsidRDefault="00C14FCD" w:rsidP="00C14FCD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lang w:eastAsia="ru-RU"/>
        </w:rPr>
        <w:t>ТОО «Петропавловские Тепловые Сети» за 2018 год</w:t>
      </w:r>
    </w:p>
    <w:p w:rsidR="00C14FCD" w:rsidRPr="00C14FCD" w:rsidRDefault="00C14FCD" w:rsidP="00C14FC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14FCD" w:rsidRPr="00C14FCD" w:rsidRDefault="00C14FCD" w:rsidP="00C14FCD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          ТОО «Петропавловские Тепловые Сети» является энергопередающей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C14FCD" w:rsidRPr="00C14FCD" w:rsidRDefault="00C14FCD" w:rsidP="00C14F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Предприятие осуществляет транспортировку тепловой энергии в адрес порядка 71 тысяч абонентов бытового сектора города и 2 301 абонентов промышленных, бюджетных, коммерческих и прочих потребителей.</w:t>
      </w:r>
    </w:p>
    <w:p w:rsidR="00C14FCD" w:rsidRPr="00C14FCD" w:rsidRDefault="00C14FCD" w:rsidP="00C14FC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Протяженность обслуживаемых предприятием тепловых сетей составляет 233,5 км, а именно:</w:t>
      </w:r>
    </w:p>
    <w:p w:rsidR="00C14FCD" w:rsidRPr="00C14FCD" w:rsidRDefault="00C14FCD" w:rsidP="00C14FCD">
      <w:pPr>
        <w:numPr>
          <w:ilvl w:val="0"/>
          <w:numId w:val="1"/>
        </w:numPr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Магистральных трубопроводов (Ду ≥ 300 мм) – 85,3 км </w:t>
      </w:r>
    </w:p>
    <w:p w:rsidR="00C14FCD" w:rsidRPr="00C14FCD" w:rsidRDefault="00C14FCD" w:rsidP="00C14FCD">
      <w:pPr>
        <w:numPr>
          <w:ilvl w:val="0"/>
          <w:numId w:val="1"/>
        </w:numPr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Распределительных трубопроводов (Ду &lt; 300 мм) – 148,2 км.</w:t>
      </w:r>
    </w:p>
    <w:p w:rsidR="00C14FCD" w:rsidRPr="00C14FCD" w:rsidRDefault="00C14FCD" w:rsidP="00C14FC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93A6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ab/>
        <w:t xml:space="preserve">    В утвержденной совместным приказом РГУ «Департамента Комитета по регулированию естественных монополий и защите конкуренции МНЭ РК по СКО» от 09.11.2015г. №130-ОД и  ГУ «Управления энергетики и жилищно-коммунального  хоз</w:t>
      </w:r>
      <w:r w:rsidR="00D33CF2">
        <w:rPr>
          <w:rFonts w:ascii="Times New Roman" w:hAnsi="Times New Roman"/>
          <w:shd w:val="clear" w:color="auto" w:fill="FFFFFF"/>
          <w:lang w:eastAsia="ru-RU"/>
        </w:rPr>
        <w:t>яйства по СКО» от 05.11.2015г. И</w:t>
      </w:r>
      <w:r w:rsidRPr="00C14FCD">
        <w:rPr>
          <w:rFonts w:ascii="Times New Roman" w:hAnsi="Times New Roman"/>
          <w:shd w:val="clear" w:color="auto" w:fill="FFFFFF"/>
          <w:lang w:eastAsia="ru-RU"/>
        </w:rPr>
        <w:t>нвестиционной программе</w:t>
      </w:r>
      <w:r w:rsidR="00C93A6D">
        <w:rPr>
          <w:rFonts w:ascii="Times New Roman" w:hAnsi="Times New Roman"/>
          <w:shd w:val="clear" w:color="auto" w:fill="FFFFFF"/>
          <w:lang w:eastAsia="ru-RU"/>
        </w:rPr>
        <w:t xml:space="preserve"> с учётом внесённых изменений </w:t>
      </w:r>
      <w:r w:rsidR="00C93A6D" w:rsidRPr="00C14FCD">
        <w:rPr>
          <w:rFonts w:ascii="Times New Roman" w:hAnsi="Times New Roman"/>
          <w:shd w:val="clear" w:color="auto" w:fill="FFFFFF"/>
          <w:lang w:eastAsia="ru-RU"/>
        </w:rPr>
        <w:t>совместным Приказом Департамента Комитета по регулированию естественных монополий, защите конкуренции и прав потребителей МНЭ РК по СКО от 12.11.2018г. №148-ОД и Управления энергетики и жилищно-коммунального х</w:t>
      </w:r>
      <w:r w:rsidR="00C93A6D">
        <w:rPr>
          <w:rFonts w:ascii="Times New Roman" w:hAnsi="Times New Roman"/>
          <w:shd w:val="clear" w:color="auto" w:fill="FFFFFF"/>
          <w:lang w:eastAsia="ru-RU"/>
        </w:rPr>
        <w:t xml:space="preserve">озяйства по СКО от 23.11.2016г. </w:t>
      </w: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были предусмотрены мероприятия, которые планировалось реализовать в рамках инвестиционного займа ЕБРР и Бюджетного субсидирования МИИР РК по бюджетной программе 086 "Реализация мероприятий в области жилищно-коммунального хозяйства в рамках программы развития регионов до 2020 года". 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   </w:t>
      </w:r>
    </w:p>
    <w:p w:rsidR="00C14FCD" w:rsidRPr="00C14FCD" w:rsidRDefault="00C14FCD" w:rsidP="00C14FCD">
      <w:pPr>
        <w:tabs>
          <w:tab w:val="left" w:pos="284"/>
          <w:tab w:val="left" w:pos="567"/>
        </w:tabs>
        <w:spacing w:after="0" w:line="0" w:lineRule="atLeast"/>
        <w:ind w:left="426" w:firstLine="425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181FD8">
        <w:rPr>
          <w:rFonts w:ascii="Times New Roman" w:hAnsi="Times New Roman"/>
          <w:b/>
          <w:lang w:eastAsia="ru-RU"/>
        </w:rPr>
        <w:t>В рамках инвестиционной программы выполнение составило:</w:t>
      </w:r>
    </w:p>
    <w:p w:rsidR="00C14FCD" w:rsidRPr="00C14FCD" w:rsidRDefault="00C14FCD" w:rsidP="00C14FCD">
      <w:pPr>
        <w:tabs>
          <w:tab w:val="left" w:pos="284"/>
          <w:tab w:val="left" w:pos="567"/>
        </w:tabs>
        <w:spacing w:after="0" w:line="0" w:lineRule="atLeast"/>
        <w:ind w:left="426" w:firstLine="425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C14FCD" w:rsidRPr="00C14FCD" w:rsidRDefault="00C14FCD" w:rsidP="00181FD8">
      <w:pPr>
        <w:tabs>
          <w:tab w:val="left" w:pos="284"/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За счет  собственных средств  - 474 млн. тенге или  102% (произведены работы по:  1) реконструкции распределительных сетей по ул. Ульянова от ТК-8-16 до ТК-28-07; 2) восстановлению изоляции участков ТМ№1, ТМ№2, ТМ№6, ТМ15;  3) обследованию аспектов системы теплоснабжения). </w:t>
      </w:r>
    </w:p>
    <w:p w:rsidR="00C14FCD" w:rsidRPr="00C14FCD" w:rsidRDefault="00C14FCD" w:rsidP="00181FD8">
      <w:pPr>
        <w:tabs>
          <w:tab w:val="left" w:pos="284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>За счет   займа ЕБРР и бюджетного субсидирования МИИР РК  – 38  млн. тенге или 100%  (выполнены работы по восстановлению благоустройства после проведения работ в 2017 году по проекту Реконструкция ТМ№1 по ул. Алтынсарина в объёме – 6 770 м2).</w:t>
      </w:r>
    </w:p>
    <w:p w:rsidR="00C14FCD" w:rsidRPr="00C14FCD" w:rsidRDefault="00181FD8" w:rsidP="00C14FCD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>
        <w:rPr>
          <w:rFonts w:ascii="Times New Roman" w:hAnsi="Times New Roman"/>
          <w:b/>
          <w:shd w:val="clear" w:color="auto" w:fill="FFFFFF"/>
          <w:lang w:eastAsia="ru-RU"/>
        </w:rPr>
        <w:t xml:space="preserve">   </w:t>
      </w:r>
      <w:r w:rsidR="00C14FCD" w:rsidRPr="00C14FCD">
        <w:rPr>
          <w:rFonts w:ascii="Times New Roman" w:hAnsi="Times New Roman"/>
          <w:b/>
          <w:shd w:val="clear" w:color="auto" w:fill="FFFFFF"/>
          <w:lang w:eastAsia="ru-RU"/>
        </w:rPr>
        <w:t xml:space="preserve">       </w:t>
      </w:r>
      <w:r>
        <w:rPr>
          <w:rFonts w:ascii="Times New Roman" w:hAnsi="Times New Roman"/>
          <w:b/>
          <w:shd w:val="clear" w:color="auto" w:fill="FFFFFF"/>
          <w:lang w:eastAsia="ru-RU"/>
        </w:rPr>
        <w:t xml:space="preserve">                            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C14FCD">
        <w:rPr>
          <w:rFonts w:ascii="Times New Roman" w:hAnsi="Times New Roman"/>
          <w:b/>
          <w:shd w:val="clear" w:color="auto" w:fill="FFFFFF"/>
          <w:lang w:eastAsia="ru-RU"/>
        </w:rPr>
        <w:t>ИСПОЛНЕНИЕ МЕРОПРИЯТИЙ ИНВЕСТИЦИОННОЙ ПРОГРАММЫ</w:t>
      </w:r>
    </w:p>
    <w:p w:rsidR="00C14FCD" w:rsidRPr="00C14FCD" w:rsidRDefault="00C14FCD" w:rsidP="00C14FCD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          Анализ исполнения утвержденной Инвестиционной программы проводится согласно антимонопольного законодательства. Исполнение статей затрат за 2018 год предусмотренных в рамках</w:t>
      </w:r>
      <w:r w:rsidRPr="00C14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>Инвестиционной программы «Развитие, реконструкция и техническое перевооружение комплекса ТОО «Петропавловские Тепловые Сети», утвержденной с 01.01.2016 г. по 31.12.2020 г.,</w:t>
      </w:r>
      <w:r w:rsidRPr="00C14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4FCD">
        <w:rPr>
          <w:rFonts w:ascii="Times New Roman" w:hAnsi="Times New Roman"/>
          <w:shd w:val="clear" w:color="auto" w:fill="FFFFFF"/>
          <w:lang w:eastAsia="ru-RU"/>
        </w:rPr>
        <w:t xml:space="preserve">совместным приказом ГУ «Департамента Комитета по регулированию естественных монополий и защите конкуренции МНЭ РК по СКО» от 09.11.2015г №130-ОД и  ГУ «Управления энергетики и жилищно-коммунального хозяйства по СКО» от </w:t>
      </w:r>
      <w:r w:rsidR="00F16A54">
        <w:rPr>
          <w:rFonts w:ascii="Times New Roman" w:hAnsi="Times New Roman"/>
          <w:shd w:val="clear" w:color="auto" w:fill="FFFFFF"/>
          <w:lang w:eastAsia="ru-RU"/>
        </w:rPr>
        <w:t>05.11.2015 г.,</w:t>
      </w:r>
      <w:r w:rsidR="00D33CF2">
        <w:rPr>
          <w:rFonts w:ascii="Times New Roman" w:hAnsi="Times New Roman"/>
          <w:shd w:val="clear" w:color="auto" w:fill="FFFFFF"/>
          <w:lang w:eastAsia="ru-RU"/>
        </w:rPr>
        <w:t xml:space="preserve"> с учётом внесённых изменений</w:t>
      </w:r>
      <w:r w:rsidR="00F16A54">
        <w:rPr>
          <w:rFonts w:ascii="Times New Roman" w:hAnsi="Times New Roman"/>
          <w:shd w:val="clear" w:color="auto" w:fill="FFFFFF"/>
          <w:lang w:eastAsia="ru-RU"/>
        </w:rPr>
        <w:t xml:space="preserve"> представлены в </w:t>
      </w:r>
      <w:r w:rsidR="00F16A54">
        <w:rPr>
          <w:rFonts w:ascii="Times New Roman" w:hAnsi="Times New Roman"/>
          <w:b/>
          <w:shd w:val="clear" w:color="auto" w:fill="FFFFFF"/>
          <w:lang w:eastAsia="ru-RU"/>
        </w:rPr>
        <w:t>Приложении</w:t>
      </w:r>
      <w:r w:rsidR="00F16A54" w:rsidRPr="00220374">
        <w:rPr>
          <w:rFonts w:ascii="Times New Roman" w:hAnsi="Times New Roman"/>
          <w:b/>
          <w:shd w:val="clear" w:color="auto" w:fill="FFFFFF"/>
          <w:lang w:eastAsia="ru-RU"/>
        </w:rPr>
        <w:t xml:space="preserve"> 1</w:t>
      </w:r>
      <w:r w:rsidRPr="00C14FCD">
        <w:rPr>
          <w:rFonts w:ascii="Times New Roman" w:hAnsi="Times New Roman"/>
          <w:shd w:val="clear" w:color="auto" w:fill="FFFFFF"/>
          <w:lang w:eastAsia="ru-RU"/>
        </w:rPr>
        <w:t>.</w:t>
      </w: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14FCD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81FD8" w:rsidRDefault="00181FD8">
      <w:r>
        <w:br w:type="page"/>
      </w:r>
    </w:p>
    <w:p w:rsidR="00C14FCD" w:rsidRPr="00C14FCD" w:rsidRDefault="00C14FCD" w:rsidP="00C14FCD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C14FCD" w:rsidRPr="00C14FCD" w:rsidRDefault="00C14FCD" w:rsidP="00C14FC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В результате исполнения проектов Инвестиционной программы  достигнуты результаты: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снижение действительного уровня тепловых потерь при транспортировке теплоносителя;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 xml:space="preserve">снижение износа тепловых сетей;  </w:t>
      </w:r>
    </w:p>
    <w:p w:rsidR="00C14FCD" w:rsidRPr="00C14FCD" w:rsidRDefault="00C14FCD" w:rsidP="00C14FCD">
      <w:pPr>
        <w:numPr>
          <w:ilvl w:val="0"/>
          <w:numId w:val="1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C14FCD">
        <w:rPr>
          <w:rFonts w:ascii="Times New Roman" w:hAnsi="Times New Roman"/>
          <w:lang w:eastAsia="ru-RU"/>
        </w:rPr>
        <w:t>значительное улучшение качества теплоснабжения, что позволит обеспечить доступ к централизованному теплоснабжению новых потребителей, а также создать устойчивый и надёжный механизм теплоснабжения, улучшить социально – бытовые и санитарно-эпидемиологические условия жизни населения.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424"/>
      </w:tblGrid>
      <w:tr w:rsidR="00C14FCD" w:rsidRPr="00C14FCD" w:rsidTr="0003062D">
        <w:trPr>
          <w:trHeight w:val="4136"/>
        </w:trPr>
        <w:tc>
          <w:tcPr>
            <w:tcW w:w="6771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6DCA2D28" wp14:editId="003349A7">
                  <wp:extent cx="3352800" cy="1895475"/>
                  <wp:effectExtent l="0" t="0" r="1905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повреждений на </w:t>
            </w:r>
            <w:r w:rsidRPr="00C14FCD">
              <w:rPr>
                <w:rFonts w:asciiTheme="minorHAnsi" w:eastAsiaTheme="minorHAnsi" w:hAnsiTheme="minorHAnsi" w:cstheme="minorBidi"/>
              </w:rPr>
              <w:t>25%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5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B30A668" wp14:editId="046CAD4A">
                  <wp:extent cx="3457575" cy="189547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Средний рост объёма замены на </w:t>
            </w:r>
            <w:r w:rsidRPr="00C14FCD">
              <w:rPr>
                <w:rFonts w:asciiTheme="minorHAnsi" w:eastAsiaTheme="minorHAnsi" w:hAnsiTheme="minorHAnsi" w:cstheme="minorBidi"/>
              </w:rPr>
              <w:t>15%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14FCD" w:rsidRPr="00C14FCD" w:rsidTr="0003062D">
        <w:trPr>
          <w:trHeight w:val="2806"/>
        </w:trPr>
        <w:tc>
          <w:tcPr>
            <w:tcW w:w="6771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0868B4A" wp14:editId="649A5D5D">
                  <wp:extent cx="3352800" cy="1895475"/>
                  <wp:effectExtent l="0" t="0" r="1905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износа магистральных сетей на </w:t>
            </w:r>
            <w:r w:rsidRPr="00C14FCD">
              <w:rPr>
                <w:rFonts w:asciiTheme="minorHAnsi" w:eastAsiaTheme="minorHAnsi" w:hAnsiTheme="minorHAnsi" w:cstheme="minorBidi"/>
              </w:rPr>
              <w:t>7,2%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25" w:type="dxa"/>
          </w:tcPr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 wp14:anchorId="25EF5B79" wp14:editId="6A94F06B">
                  <wp:extent cx="3352800" cy="1895475"/>
                  <wp:effectExtent l="0" t="0" r="19050" b="95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C14FCD" w:rsidRPr="00C14FCD" w:rsidRDefault="00C14FCD" w:rsidP="00C1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14FCD">
              <w:rPr>
                <w:rFonts w:asciiTheme="minorHAnsi" w:eastAsiaTheme="minorHAnsi" w:hAnsiTheme="minorHAnsi" w:cstheme="minorBidi"/>
                <w:lang w:val="kk-KZ"/>
              </w:rPr>
              <w:t xml:space="preserve">Снижение общего износа сетей на </w:t>
            </w:r>
            <w:r w:rsidRPr="00C14FCD">
              <w:rPr>
                <w:rFonts w:asciiTheme="minorHAnsi" w:eastAsiaTheme="minorHAnsi" w:hAnsiTheme="minorHAnsi" w:cstheme="minorBidi"/>
              </w:rPr>
              <w:t>2%</w:t>
            </w:r>
          </w:p>
          <w:p w:rsidR="00C14FCD" w:rsidRPr="00C14FCD" w:rsidRDefault="00C14FCD" w:rsidP="00C14FCD">
            <w:pPr>
              <w:tabs>
                <w:tab w:val="left" w:pos="2625"/>
              </w:tabs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14FCD" w:rsidRPr="00220374" w:rsidRDefault="00220374" w:rsidP="00220374">
      <w:pPr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220374">
        <w:rPr>
          <w:rFonts w:ascii="Times New Roman" w:hAnsi="Times New Roman"/>
          <w:b/>
          <w:shd w:val="clear" w:color="auto" w:fill="FFFFFF"/>
          <w:lang w:eastAsia="ru-RU"/>
        </w:rPr>
        <w:t>Приложение 1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hd w:val="clear" w:color="auto" w:fill="FFFFFF"/>
          <w:lang w:eastAsia="ru-RU"/>
        </w:rPr>
        <w:t xml:space="preserve">– </w:t>
      </w:r>
      <w:r w:rsidRPr="00220374">
        <w:rPr>
          <w:rFonts w:ascii="Times New Roman" w:hAnsi="Times New Roman"/>
          <w:shd w:val="clear" w:color="auto" w:fill="FFFFFF"/>
          <w:lang w:eastAsia="ru-RU"/>
        </w:rPr>
        <w:t>Информация</w:t>
      </w: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об исполнении Инвестиционной программы «Развитие, реконструкция и техническое перевооружение комплекса ТОО </w:t>
      </w:r>
      <w:r>
        <w:rPr>
          <w:rFonts w:ascii="Times New Roman" w:hAnsi="Times New Roman"/>
          <w:shd w:val="clear" w:color="auto" w:fill="FFFFFF"/>
          <w:lang w:eastAsia="ru-RU"/>
        </w:rPr>
        <w:t>"Петропавловские Тепловые Сети"</w:t>
      </w:r>
      <w:r w:rsidRPr="00220374">
        <w:rPr>
          <w:rFonts w:ascii="Times New Roman" w:hAnsi="Times New Roman"/>
          <w:shd w:val="clear" w:color="auto" w:fill="FFFFFF"/>
          <w:lang w:eastAsia="ru-RU"/>
        </w:rPr>
        <w:t xml:space="preserve"> на 2016-2020 годы (с учетом внесенных изменений)» ТОО "Петропавловские Тепловые Сети" за  2018 год</w:t>
      </w:r>
      <w:r w:rsidR="00D33CF2">
        <w:rPr>
          <w:rFonts w:ascii="Times New Roman" w:hAnsi="Times New Roman"/>
          <w:shd w:val="clear" w:color="auto" w:fill="FFFFFF"/>
          <w:lang w:eastAsia="ru-RU"/>
        </w:rPr>
        <w:t xml:space="preserve">  - 3</w:t>
      </w:r>
      <w:r>
        <w:rPr>
          <w:rFonts w:ascii="Times New Roman" w:hAnsi="Times New Roman"/>
          <w:shd w:val="clear" w:color="auto" w:fill="FFFFFF"/>
          <w:lang w:eastAsia="ru-RU"/>
        </w:rPr>
        <w:t xml:space="preserve"> л. 1 экз.</w:t>
      </w: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995964" w:rsidRPr="00BE4B25" w:rsidRDefault="008275ED" w:rsidP="00376930">
      <w:pPr>
        <w:spacing w:after="0" w:line="240" w:lineRule="auto"/>
        <w:contextualSpacing/>
        <w:jc w:val="both"/>
      </w:pPr>
      <w:bookmarkStart w:id="0" w:name="_GoBack"/>
      <w:bookmarkEnd w:id="0"/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7B687F">
      <w:footerReference w:type="default" r:id="rId12"/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FF" w:rsidRDefault="009A40FF" w:rsidP="000B2629">
      <w:pPr>
        <w:spacing w:after="0" w:line="240" w:lineRule="auto"/>
      </w:pPr>
      <w:r>
        <w:separator/>
      </w:r>
    </w:p>
  </w:endnote>
  <w:endnote w:type="continuationSeparator" w:id="0">
    <w:p w:rsidR="009A40FF" w:rsidRDefault="009A40FF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708673"/>
      <w:docPartObj>
        <w:docPartGallery w:val="Page Numbers (Bottom of Page)"/>
        <w:docPartUnique/>
      </w:docPartObj>
    </w:sdtPr>
    <w:sdtEndPr/>
    <w:sdtContent>
      <w:p w:rsidR="00D3051D" w:rsidRDefault="00D305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74">
          <w:rPr>
            <w:noProof/>
          </w:rPr>
          <w:t>2</w:t>
        </w:r>
        <w:r>
          <w:fldChar w:fldCharType="end"/>
        </w:r>
      </w:p>
    </w:sdtContent>
  </w:sdt>
  <w:p w:rsidR="00D3051D" w:rsidRDefault="00D305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FF" w:rsidRDefault="009A40FF" w:rsidP="000B2629">
      <w:pPr>
        <w:spacing w:after="0" w:line="240" w:lineRule="auto"/>
      </w:pPr>
      <w:r>
        <w:separator/>
      </w:r>
    </w:p>
  </w:footnote>
  <w:footnote w:type="continuationSeparator" w:id="0">
    <w:p w:rsidR="009A40FF" w:rsidRDefault="009A40FF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2BE"/>
    <w:multiLevelType w:val="hybridMultilevel"/>
    <w:tmpl w:val="C2CCC83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64A5B"/>
    <w:rsid w:val="0008233E"/>
    <w:rsid w:val="000825F5"/>
    <w:rsid w:val="00083D88"/>
    <w:rsid w:val="000B2629"/>
    <w:rsid w:val="000C5183"/>
    <w:rsid w:val="00103DFB"/>
    <w:rsid w:val="0011065F"/>
    <w:rsid w:val="0014687C"/>
    <w:rsid w:val="00153B34"/>
    <w:rsid w:val="00181FD8"/>
    <w:rsid w:val="00190E0A"/>
    <w:rsid w:val="001914D5"/>
    <w:rsid w:val="00191727"/>
    <w:rsid w:val="001C5131"/>
    <w:rsid w:val="001C6573"/>
    <w:rsid w:val="001D1863"/>
    <w:rsid w:val="001D1BAD"/>
    <w:rsid w:val="001F1BEF"/>
    <w:rsid w:val="00215109"/>
    <w:rsid w:val="00220374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21B62"/>
    <w:rsid w:val="00355B64"/>
    <w:rsid w:val="00360DB2"/>
    <w:rsid w:val="00371A41"/>
    <w:rsid w:val="00376930"/>
    <w:rsid w:val="00396E2D"/>
    <w:rsid w:val="003D26AA"/>
    <w:rsid w:val="003F4C49"/>
    <w:rsid w:val="0042404D"/>
    <w:rsid w:val="00442FF5"/>
    <w:rsid w:val="004636C7"/>
    <w:rsid w:val="00470316"/>
    <w:rsid w:val="00476B5C"/>
    <w:rsid w:val="00487403"/>
    <w:rsid w:val="004918E6"/>
    <w:rsid w:val="0049213C"/>
    <w:rsid w:val="004979CD"/>
    <w:rsid w:val="004A31F0"/>
    <w:rsid w:val="004C1CD7"/>
    <w:rsid w:val="004F343A"/>
    <w:rsid w:val="00546F10"/>
    <w:rsid w:val="00560554"/>
    <w:rsid w:val="005630C5"/>
    <w:rsid w:val="00575BA1"/>
    <w:rsid w:val="00575CC2"/>
    <w:rsid w:val="00586F74"/>
    <w:rsid w:val="005B409C"/>
    <w:rsid w:val="005C08D2"/>
    <w:rsid w:val="0066157B"/>
    <w:rsid w:val="00667C3E"/>
    <w:rsid w:val="00686D40"/>
    <w:rsid w:val="006878D3"/>
    <w:rsid w:val="0069283C"/>
    <w:rsid w:val="00693ADC"/>
    <w:rsid w:val="006A2055"/>
    <w:rsid w:val="006B2244"/>
    <w:rsid w:val="0070761F"/>
    <w:rsid w:val="00720543"/>
    <w:rsid w:val="00733A7C"/>
    <w:rsid w:val="00755D90"/>
    <w:rsid w:val="0076050B"/>
    <w:rsid w:val="00795198"/>
    <w:rsid w:val="007A0B03"/>
    <w:rsid w:val="007A364A"/>
    <w:rsid w:val="007B15C4"/>
    <w:rsid w:val="007B687F"/>
    <w:rsid w:val="007B78BC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525ED"/>
    <w:rsid w:val="00856D9C"/>
    <w:rsid w:val="008925E7"/>
    <w:rsid w:val="008B13C5"/>
    <w:rsid w:val="008C05A2"/>
    <w:rsid w:val="008C4B28"/>
    <w:rsid w:val="008D077C"/>
    <w:rsid w:val="008D4881"/>
    <w:rsid w:val="008D6C85"/>
    <w:rsid w:val="00911EE5"/>
    <w:rsid w:val="00917F42"/>
    <w:rsid w:val="00934A86"/>
    <w:rsid w:val="009648C1"/>
    <w:rsid w:val="00965819"/>
    <w:rsid w:val="0097058C"/>
    <w:rsid w:val="00980E9C"/>
    <w:rsid w:val="009812A3"/>
    <w:rsid w:val="00982AA0"/>
    <w:rsid w:val="00986A8F"/>
    <w:rsid w:val="00990C9F"/>
    <w:rsid w:val="00995964"/>
    <w:rsid w:val="009A40FF"/>
    <w:rsid w:val="009B2DE5"/>
    <w:rsid w:val="009C71D8"/>
    <w:rsid w:val="009F47FD"/>
    <w:rsid w:val="00A05AC7"/>
    <w:rsid w:val="00A10449"/>
    <w:rsid w:val="00A1727E"/>
    <w:rsid w:val="00A23796"/>
    <w:rsid w:val="00A56646"/>
    <w:rsid w:val="00A77660"/>
    <w:rsid w:val="00A87185"/>
    <w:rsid w:val="00A90978"/>
    <w:rsid w:val="00A94E0F"/>
    <w:rsid w:val="00A95439"/>
    <w:rsid w:val="00AA14E4"/>
    <w:rsid w:val="00AA6B1F"/>
    <w:rsid w:val="00AD1D68"/>
    <w:rsid w:val="00AE3B42"/>
    <w:rsid w:val="00B033BC"/>
    <w:rsid w:val="00B043A8"/>
    <w:rsid w:val="00B056B4"/>
    <w:rsid w:val="00B4148B"/>
    <w:rsid w:val="00B43C12"/>
    <w:rsid w:val="00B50D3D"/>
    <w:rsid w:val="00B55B5F"/>
    <w:rsid w:val="00B715F1"/>
    <w:rsid w:val="00B750A1"/>
    <w:rsid w:val="00B97774"/>
    <w:rsid w:val="00BA58C3"/>
    <w:rsid w:val="00BB287C"/>
    <w:rsid w:val="00BD36A9"/>
    <w:rsid w:val="00BE2BBB"/>
    <w:rsid w:val="00BE4B25"/>
    <w:rsid w:val="00C10291"/>
    <w:rsid w:val="00C14FCD"/>
    <w:rsid w:val="00C45C42"/>
    <w:rsid w:val="00C7301A"/>
    <w:rsid w:val="00C734F5"/>
    <w:rsid w:val="00C73ECA"/>
    <w:rsid w:val="00C74050"/>
    <w:rsid w:val="00C77C42"/>
    <w:rsid w:val="00C86D1B"/>
    <w:rsid w:val="00C93A6D"/>
    <w:rsid w:val="00C96E44"/>
    <w:rsid w:val="00CA02F5"/>
    <w:rsid w:val="00CB1F78"/>
    <w:rsid w:val="00CB6D84"/>
    <w:rsid w:val="00CC502B"/>
    <w:rsid w:val="00CF3689"/>
    <w:rsid w:val="00D27ED5"/>
    <w:rsid w:val="00D3051D"/>
    <w:rsid w:val="00D33CF2"/>
    <w:rsid w:val="00D51710"/>
    <w:rsid w:val="00D84376"/>
    <w:rsid w:val="00D952E4"/>
    <w:rsid w:val="00DC7DDB"/>
    <w:rsid w:val="00DE3219"/>
    <w:rsid w:val="00E25F09"/>
    <w:rsid w:val="00E318A3"/>
    <w:rsid w:val="00E34363"/>
    <w:rsid w:val="00E4585D"/>
    <w:rsid w:val="00E459FC"/>
    <w:rsid w:val="00E564CC"/>
    <w:rsid w:val="00E774EB"/>
    <w:rsid w:val="00E9185A"/>
    <w:rsid w:val="00E97D21"/>
    <w:rsid w:val="00EC5A34"/>
    <w:rsid w:val="00EE3A3B"/>
    <w:rsid w:val="00EE3DC9"/>
    <w:rsid w:val="00EE7785"/>
    <w:rsid w:val="00EF249C"/>
    <w:rsid w:val="00F01F23"/>
    <w:rsid w:val="00F13E47"/>
    <w:rsid w:val="00F16A54"/>
    <w:rsid w:val="00F71FD5"/>
    <w:rsid w:val="00F73375"/>
    <w:rsid w:val="00F74C97"/>
    <w:rsid w:val="00F74CBC"/>
    <w:rsid w:val="00F82F14"/>
    <w:rsid w:val="00F83679"/>
    <w:rsid w:val="00FD062D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936E"/>
  <w15:docId w15:val="{6227CD4E-4B22-4678-B93F-0871161E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C1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 количество повреждений, шт </a:t>
            </a:r>
          </a:p>
        </c:rich>
      </c:tx>
      <c:layout>
        <c:manualLayout>
          <c:xMode val="edge"/>
          <c:yMode val="edge"/>
          <c:x val="0.13142857142857142"/>
          <c:y val="0.1389961389961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количество повреждений, шт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274</c:v>
                </c:pt>
                <c:pt idx="1">
                  <c:v>197</c:v>
                </c:pt>
                <c:pt idx="2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D1-4FB0-BFC5-78B6113F26B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0250624"/>
        <c:axId val="110249088"/>
      </c:barChart>
      <c:catAx>
        <c:axId val="110250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249088"/>
        <c:crosses val="autoZero"/>
        <c:auto val="1"/>
        <c:lblAlgn val="ctr"/>
        <c:lblOffset val="100"/>
        <c:noMultiLvlLbl val="0"/>
      </c:catAx>
      <c:valAx>
        <c:axId val="110249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25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412303512312217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 Протяжённость</a:t>
            </a:r>
            <a:r>
              <a:rPr lang="ru-RU" baseline="0"/>
              <a:t> замены, км</a:t>
            </a:r>
            <a:endParaRPr lang="ru-RU"/>
          </a:p>
        </c:rich>
      </c:tx>
      <c:layout>
        <c:manualLayout>
          <c:xMode val="edge"/>
          <c:yMode val="edge"/>
          <c:x val="0.13142857142857142"/>
          <c:y val="0.13899613899613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Протяжённость замены, км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25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4-4045-AE63-406C0405854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933696"/>
        <c:axId val="65936384"/>
      </c:barChart>
      <c:catAx>
        <c:axId val="6593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36384"/>
        <c:crosses val="autoZero"/>
        <c:auto val="1"/>
        <c:lblAlgn val="ctr"/>
        <c:lblOffset val="100"/>
        <c:noMultiLvlLbl val="0"/>
      </c:catAx>
      <c:valAx>
        <c:axId val="65936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224698895878238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142857142857142"/>
          <c:y val="0.138996138996139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Износ магистральных сетей ,%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83.1</c:v>
                </c:pt>
                <c:pt idx="1">
                  <c:v>79.099999999999994</c:v>
                </c:pt>
                <c:pt idx="2">
                  <c:v>75.900000000000006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BB-4BA0-882F-FAB2F43A8AF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953152"/>
        <c:axId val="65968384"/>
      </c:barChart>
      <c:catAx>
        <c:axId val="6595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968384"/>
        <c:crosses val="autoZero"/>
        <c:auto val="1"/>
        <c:lblAlgn val="ctr"/>
        <c:lblOffset val="100"/>
        <c:noMultiLvlLbl val="0"/>
      </c:catAx>
      <c:valAx>
        <c:axId val="6596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95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3185011672535907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3142857142857142"/>
          <c:y val="0.138996138996139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9075385361002535E-2"/>
          <c:y val="0.27839155240730046"/>
          <c:w val="0.55346244762882901"/>
          <c:h val="0.5926424061857132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Общий износ сетей, %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71.900000000000006</c:v>
                </c:pt>
                <c:pt idx="1">
                  <c:v>70.400000000000006</c:v>
                </c:pt>
                <c:pt idx="2">
                  <c:v>69.900000000000006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10-4F46-B9C0-8A3B76EF49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5759872"/>
        <c:axId val="65779200"/>
      </c:barChart>
      <c:catAx>
        <c:axId val="6575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5779200"/>
        <c:crosses val="autoZero"/>
        <c:auto val="1"/>
        <c:lblAlgn val="ctr"/>
        <c:lblOffset val="100"/>
        <c:noMultiLvlLbl val="0"/>
      </c:catAx>
      <c:valAx>
        <c:axId val="6577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759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43052770577594"/>
          <c:y val="0.48482001202363673"/>
          <c:w val="0.30372475179732966"/>
          <c:h val="0.22469889587823869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0.19602</cdr:x>
      <cdr:y>0.30151</cdr:y>
    </cdr:from>
    <cdr:to>
      <cdr:x>0.60795</cdr:x>
      <cdr:y>0.50251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57225" y="571500"/>
          <a:ext cx="1381125" cy="38100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0.1087</cdr:x>
      <cdr:y>0.29146</cdr:y>
    </cdr:from>
    <cdr:to>
      <cdr:x>0.42547</cdr:x>
      <cdr:y>0.52764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 flipV="1">
          <a:off x="333375" y="552450"/>
          <a:ext cx="971550" cy="4476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0.20497</cdr:x>
      <cdr:y>0.2905</cdr:y>
    </cdr:from>
    <cdr:to>
      <cdr:x>0.61491</cdr:x>
      <cdr:y>0.59777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28650" y="495300"/>
          <a:ext cx="1257300" cy="523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0.20497</cdr:x>
      <cdr:y>0.2905</cdr:y>
    </cdr:from>
    <cdr:to>
      <cdr:x>0.61491</cdr:x>
      <cdr:y>0.59777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628650" y="495300"/>
          <a:ext cx="1257300" cy="5238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0450-32D9-4916-AB59-810A87E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Шерина Лилия Игоревна</cp:lastModifiedBy>
  <cp:revision>7</cp:revision>
  <cp:lastPrinted>2019-03-29T06:45:00Z</cp:lastPrinted>
  <dcterms:created xsi:type="dcterms:W3CDTF">2019-04-18T08:51:00Z</dcterms:created>
  <dcterms:modified xsi:type="dcterms:W3CDTF">2019-04-26T08:15:00Z</dcterms:modified>
</cp:coreProperties>
</file>