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C2" w:rsidRDefault="00056EC2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  <w:lang w:val="en-US"/>
        </w:rPr>
      </w:pPr>
    </w:p>
    <w:p w:rsidR="00263115" w:rsidRDefault="00263115" w:rsidP="0026311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F072C" w:rsidRPr="00DE16E9" w:rsidRDefault="00D75278" w:rsidP="00D75278">
      <w:pPr>
        <w:spacing w:after="120"/>
        <w:ind w:left="70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Отчет</w:t>
      </w:r>
      <w:r w:rsidR="00BF072C" w:rsidRPr="00DE16E9">
        <w:rPr>
          <w:rFonts w:ascii="Times New Roman" w:hAnsi="Times New Roman"/>
          <w:b/>
          <w:sz w:val="24"/>
          <w:szCs w:val="24"/>
          <w:lang w:eastAsia="ru-RU"/>
        </w:rPr>
        <w:t xml:space="preserve"> по </w:t>
      </w:r>
      <w:r w:rsidR="00662A20" w:rsidRPr="00DE16E9">
        <w:rPr>
          <w:rFonts w:ascii="Times New Roman" w:hAnsi="Times New Roman"/>
          <w:b/>
          <w:sz w:val="24"/>
          <w:szCs w:val="24"/>
          <w:lang w:eastAsia="ru-RU"/>
        </w:rPr>
        <w:t>итогам</w:t>
      </w:r>
      <w:r w:rsidR="00662A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b/>
          <w:sz w:val="24"/>
          <w:szCs w:val="24"/>
          <w:lang w:eastAsia="ru-RU"/>
        </w:rPr>
        <w:t>исполнения инвестиционной программы</w:t>
      </w:r>
    </w:p>
    <w:p w:rsidR="00BF072C" w:rsidRPr="00DE16E9" w:rsidRDefault="00BF072C" w:rsidP="00D75278">
      <w:pPr>
        <w:spacing w:after="0"/>
        <w:ind w:firstLine="4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16E9">
        <w:rPr>
          <w:rFonts w:ascii="Times New Roman" w:hAnsi="Times New Roman"/>
          <w:b/>
          <w:sz w:val="24"/>
          <w:szCs w:val="24"/>
          <w:lang w:eastAsia="ru-RU"/>
        </w:rPr>
        <w:t>ТОО «Севказэнергосбыт» за 201</w:t>
      </w:r>
      <w:r w:rsidR="00C5336E" w:rsidRPr="00DE16E9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DE16E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DE16E9" w:rsidRPr="00DE16E9" w:rsidRDefault="00DE16E9" w:rsidP="00D75278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С 01.01.2009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7B1218">
        <w:rPr>
          <w:rFonts w:ascii="Times New Roman" w:hAnsi="Times New Roman"/>
          <w:sz w:val="24"/>
          <w:szCs w:val="24"/>
          <w:lang w:eastAsia="ru-RU"/>
        </w:rPr>
        <w:t>.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ТОО «Севказэнергосбыт» осуществляет деятельность по снабжению тепловой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и электрической энергией потребителей г.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Петропавловска и Северо-Казахстанской области.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27.01.2009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E16E9">
        <w:rPr>
          <w:rFonts w:ascii="Times New Roman" w:hAnsi="Times New Roman"/>
          <w:sz w:val="24"/>
          <w:szCs w:val="24"/>
          <w:lang w:eastAsia="ru-RU"/>
        </w:rPr>
        <w:t>ТОО «Севказэнергосбыт» включено в местный раздел Государственного регистра субъектов естественных монополий по СКО по виду регулируемой услуги «снабжение тепловой энергией»</w:t>
      </w:r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13.02.2009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7B1218">
        <w:rPr>
          <w:rFonts w:ascii="Times New Roman" w:hAnsi="Times New Roman"/>
          <w:sz w:val="24"/>
          <w:szCs w:val="24"/>
          <w:lang w:eastAsia="ru-RU"/>
        </w:rPr>
        <w:t>.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предприятие было включено в государственный реестр субъектов рынка, занимающих доминирующее (монопольное) положение на соответствующем товарном рынке по электроснабжению.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На 01.01.2019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7B1218">
        <w:rPr>
          <w:rFonts w:ascii="Times New Roman" w:hAnsi="Times New Roman"/>
          <w:sz w:val="24"/>
          <w:szCs w:val="24"/>
          <w:lang w:eastAsia="ru-RU"/>
        </w:rPr>
        <w:t>.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услугами предприятия пользуются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163</w:t>
      </w:r>
      <w:r w:rsidR="00662A20">
        <w:rPr>
          <w:rFonts w:ascii="Times New Roman" w:hAnsi="Times New Roman"/>
          <w:sz w:val="24"/>
          <w:szCs w:val="24"/>
          <w:lang w:eastAsia="ru-RU"/>
        </w:rPr>
        <w:t> 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795 абонентов</w:t>
      </w:r>
      <w:r w:rsidR="007B1218" w:rsidRPr="00DE16E9" w:rsidDel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электрической энергии, в том числе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73</w:t>
      </w:r>
      <w:r w:rsidR="00662A20">
        <w:rPr>
          <w:rFonts w:ascii="Times New Roman" w:hAnsi="Times New Roman"/>
          <w:sz w:val="24"/>
          <w:szCs w:val="24"/>
          <w:lang w:eastAsia="ru-RU"/>
        </w:rPr>
        <w:t> 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629 абонент</w:t>
      </w:r>
      <w:r w:rsidR="007B1218">
        <w:rPr>
          <w:rFonts w:ascii="Times New Roman" w:hAnsi="Times New Roman"/>
          <w:sz w:val="24"/>
          <w:szCs w:val="24"/>
          <w:lang w:eastAsia="ru-RU"/>
        </w:rPr>
        <w:t>ов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тепловой энергии.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Стратегическими целями </w:t>
      </w:r>
      <w:proofErr w:type="spellStart"/>
      <w:r w:rsidR="007B1218">
        <w:rPr>
          <w:rFonts w:ascii="Times New Roman" w:hAnsi="Times New Roman"/>
          <w:sz w:val="24"/>
          <w:szCs w:val="24"/>
          <w:lang w:eastAsia="ru-RU"/>
        </w:rPr>
        <w:t>э</w:t>
      </w:r>
      <w:r w:rsidRPr="00DE16E9">
        <w:rPr>
          <w:rFonts w:ascii="Times New Roman" w:hAnsi="Times New Roman"/>
          <w:sz w:val="24"/>
          <w:szCs w:val="24"/>
          <w:lang w:eastAsia="ru-RU"/>
        </w:rPr>
        <w:t>нергосбытовой</w:t>
      </w:r>
      <w:proofErr w:type="spell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компании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явля</w:t>
      </w:r>
      <w:r w:rsidR="007B1218">
        <w:rPr>
          <w:rFonts w:ascii="Times New Roman" w:hAnsi="Times New Roman"/>
          <w:sz w:val="24"/>
          <w:szCs w:val="24"/>
          <w:lang w:eastAsia="ru-RU"/>
        </w:rPr>
        <w:t>ю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полное обеспечение платежеспособного спроса потребителей в электрической и тепловой энергии, предоставление исчерпывающей информации потребителям по вопросам энергоснабжения.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Потребители тепловой и электрической энергии должны быть обеспечены комфортными условиями при осуществлении оплаты за коммунальные услуги, а процесс оплаты за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потребл</w:t>
      </w:r>
      <w:r w:rsidR="007B1218">
        <w:rPr>
          <w:rFonts w:ascii="Times New Roman" w:hAnsi="Times New Roman"/>
          <w:sz w:val="24"/>
          <w:szCs w:val="24"/>
          <w:lang w:eastAsia="ru-RU"/>
        </w:rPr>
        <w:t>ё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нные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коммунальные услуги должен быть максимально простым и занимающим минимальное количество времени.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Так для приёма коммунальных платежей по тепловой и электрической энергии в настоящее время предприятие имеет на балансе административно-хозяйственное здание по ул. Жумабаева</w:t>
      </w:r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66 (абонентский участок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№</w:t>
      </w:r>
      <w:r w:rsidR="007B1218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1), два пункта приёма платежей по ул. Строительная</w:t>
      </w:r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6 (абонентский участок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№</w:t>
      </w:r>
      <w:r w:rsidR="007B1218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2) и 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Сатпаева</w:t>
      </w:r>
      <w:proofErr w:type="spellEnd"/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17 (абонентский участок №</w:t>
      </w:r>
      <w:r w:rsidR="00662A20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3), в целях повышения качества услуг населению дополнительно открыты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пункты приема по ул.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Жабаева</w:t>
      </w:r>
      <w:proofErr w:type="spellEnd"/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215а (ЦОП),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Ш.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Уалиханова</w:t>
      </w:r>
      <w:proofErr w:type="spellEnd"/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56 в </w:t>
      </w:r>
      <w:r w:rsidR="007B1218">
        <w:rPr>
          <w:rFonts w:ascii="Times New Roman" w:hAnsi="Times New Roman"/>
          <w:sz w:val="24"/>
          <w:szCs w:val="24"/>
          <w:lang w:eastAsia="ru-RU"/>
        </w:rPr>
        <w:t>т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оргово</w:t>
      </w:r>
      <w:r w:rsidRPr="00DE16E9">
        <w:rPr>
          <w:rFonts w:ascii="Times New Roman" w:hAnsi="Times New Roman"/>
          <w:sz w:val="24"/>
          <w:szCs w:val="24"/>
          <w:lang w:eastAsia="ru-RU"/>
        </w:rPr>
        <w:t>-развлекательном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центре «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City</w:t>
      </w:r>
      <w:proofErr w:type="spell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1218" w:rsidRPr="00DE16E9">
        <w:rPr>
          <w:rFonts w:ascii="Times New Roman" w:hAnsi="Times New Roman"/>
          <w:sz w:val="24"/>
          <w:szCs w:val="24"/>
          <w:lang w:eastAsia="ru-RU"/>
        </w:rPr>
        <w:t>Ma</w:t>
      </w:r>
      <w:proofErr w:type="spellEnd"/>
      <w:r w:rsidR="007B1218">
        <w:rPr>
          <w:rFonts w:ascii="Times New Roman" w:hAnsi="Times New Roman"/>
          <w:sz w:val="24"/>
          <w:szCs w:val="24"/>
          <w:lang w:val="en-US" w:eastAsia="ru-RU"/>
        </w:rPr>
        <w:t>l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l</w:t>
      </w:r>
      <w:r w:rsidRPr="00DE16E9">
        <w:rPr>
          <w:rFonts w:ascii="Times New Roman" w:hAnsi="Times New Roman"/>
          <w:sz w:val="24"/>
          <w:szCs w:val="24"/>
          <w:lang w:eastAsia="ru-RU"/>
        </w:rPr>
        <w:t>»</w:t>
      </w:r>
      <w:r w:rsidR="007B1218">
        <w:rPr>
          <w:rFonts w:ascii="Times New Roman" w:hAnsi="Times New Roman"/>
          <w:sz w:val="24"/>
          <w:szCs w:val="24"/>
          <w:lang w:eastAsia="ru-RU"/>
        </w:rPr>
        <w:t>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В настоящее время в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ТОО «Севказэнергосбыт» реализуется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долгосрочная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1218">
        <w:rPr>
          <w:rFonts w:ascii="Times New Roman" w:hAnsi="Times New Roman"/>
          <w:sz w:val="24"/>
          <w:szCs w:val="24"/>
          <w:lang w:eastAsia="ru-RU"/>
        </w:rPr>
        <w:t>и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нвестиционная программа, которая утверждена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приказом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РГУ «Департамент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Комитета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по регулированию естественных монополий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и защите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конкуренции Министерства национальной экономики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РК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по СКО» от 09.11.2015г №128-ОД г. Срок реализации инвестиционной программы </w:t>
      </w:r>
      <w:r w:rsidR="007B1218">
        <w:rPr>
          <w:rFonts w:ascii="Times New Roman" w:hAnsi="Times New Roman"/>
          <w:sz w:val="24"/>
          <w:szCs w:val="24"/>
          <w:lang w:eastAsia="ru-RU"/>
        </w:rPr>
        <w:t>–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с 1 января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2016 г</w:t>
      </w:r>
      <w:r w:rsidR="007B1218">
        <w:rPr>
          <w:rFonts w:ascii="Times New Roman" w:hAnsi="Times New Roman"/>
          <w:sz w:val="24"/>
          <w:szCs w:val="24"/>
          <w:lang w:eastAsia="ru-RU"/>
        </w:rPr>
        <w:t>.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по 31 декабря 2020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Целями настоящего </w:t>
      </w:r>
      <w:proofErr w:type="gramStart"/>
      <w:r w:rsidRPr="00DE16E9">
        <w:rPr>
          <w:rFonts w:ascii="Times New Roman" w:hAnsi="Times New Roman"/>
          <w:sz w:val="24"/>
          <w:szCs w:val="24"/>
          <w:lang w:eastAsia="ru-RU"/>
        </w:rPr>
        <w:t>бизнес-проекта</w:t>
      </w:r>
      <w:proofErr w:type="gram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на 2018 год являются снижение уровня дебиторской задолженности потребителей тепловой и электрической энергии, увеличение или сохранение существующего уровня ликвидной стоимости задействованных основных средств, увеличение объёма и качества предоставляемых регулируемых услуг, обеспечение персонала предприятия современной компьютерной техникой, 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т. к.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предприятию необходимо улучшение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и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обновление информационных технологий.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Сумма инвестиций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утвержд</w:t>
      </w:r>
      <w:r w:rsidR="007B1218">
        <w:rPr>
          <w:rFonts w:ascii="Times New Roman" w:hAnsi="Times New Roman"/>
          <w:sz w:val="24"/>
          <w:szCs w:val="24"/>
          <w:lang w:eastAsia="ru-RU"/>
        </w:rPr>
        <w:t>ё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нной </w:t>
      </w:r>
      <w:r w:rsidRPr="00DE16E9">
        <w:rPr>
          <w:rFonts w:ascii="Times New Roman" w:hAnsi="Times New Roman"/>
          <w:sz w:val="24"/>
          <w:szCs w:val="24"/>
          <w:lang w:eastAsia="ru-RU"/>
        </w:rPr>
        <w:t>инвестиционной программы на период с 1 января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2018 года по 31 декабря 2018 года предусмотрена в размере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20</w:t>
      </w:r>
      <w:r w:rsidR="00662A20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546 тыс. тенге. Финансирование планировалось осуществить за счет собственных средств предприятия, а именно амортизационных отчислений </w:t>
      </w:r>
      <w:r w:rsidR="007B1218">
        <w:rPr>
          <w:rFonts w:ascii="Times New Roman" w:hAnsi="Times New Roman"/>
          <w:sz w:val="24"/>
          <w:szCs w:val="24"/>
          <w:lang w:eastAsia="ru-RU"/>
        </w:rPr>
        <w:t>в размере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 18</w:t>
      </w:r>
      <w:r w:rsidR="007B1218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546 тыс.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и прибыли </w:t>
      </w:r>
      <w:r w:rsidR="007B1218">
        <w:rPr>
          <w:rFonts w:ascii="Times New Roman" w:hAnsi="Times New Roman"/>
          <w:sz w:val="24"/>
          <w:szCs w:val="24"/>
          <w:lang w:eastAsia="ru-RU"/>
        </w:rPr>
        <w:t>в размере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2A20" w:rsidRPr="00DE16E9">
        <w:rPr>
          <w:rFonts w:ascii="Times New Roman" w:hAnsi="Times New Roman"/>
          <w:sz w:val="24"/>
          <w:szCs w:val="24"/>
          <w:lang w:eastAsia="ru-RU"/>
        </w:rPr>
        <w:t>2</w:t>
      </w:r>
      <w:r w:rsidR="00662A20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000 тыс.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proofErr w:type="gramStart"/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По видам энергии инвестиции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утвержд</w:t>
      </w:r>
      <w:r w:rsidR="007B1218">
        <w:rPr>
          <w:rFonts w:ascii="Times New Roman" w:hAnsi="Times New Roman"/>
          <w:sz w:val="24"/>
          <w:szCs w:val="24"/>
          <w:lang w:eastAsia="ru-RU"/>
        </w:rPr>
        <w:t>ё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нной </w:t>
      </w:r>
      <w:r w:rsidRPr="00DE16E9">
        <w:rPr>
          <w:rFonts w:ascii="Times New Roman" w:hAnsi="Times New Roman"/>
          <w:sz w:val="24"/>
          <w:szCs w:val="24"/>
          <w:lang w:eastAsia="ru-RU"/>
        </w:rPr>
        <w:t>инвестиционной программы распределены следующим образом:</w:t>
      </w:r>
    </w:p>
    <w:p w:rsidR="00DE16E9" w:rsidRPr="00DE16E9" w:rsidRDefault="007B1218" w:rsidP="00DE1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электрическая энергия – 17 053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DE16E9">
        <w:rPr>
          <w:rFonts w:ascii="Times New Roman" w:hAnsi="Times New Roman"/>
          <w:sz w:val="24"/>
          <w:szCs w:val="24"/>
          <w:lang w:eastAsia="ru-RU"/>
        </w:rPr>
        <w:t>15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393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 xml:space="preserve"> за счёт амортизации и </w:t>
      </w:r>
      <w:r w:rsidRPr="00DE16E9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660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 xml:space="preserve"> за счёт прибыли);</w:t>
      </w:r>
    </w:p>
    <w:p w:rsidR="00DE16E9" w:rsidRPr="00DE16E9" w:rsidRDefault="007B1218" w:rsidP="00DE1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 xml:space="preserve">тепловая энергия – </w:t>
      </w:r>
      <w:r w:rsidRPr="00DE16E9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493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(</w:t>
      </w:r>
      <w:r w:rsidRPr="00DE16E9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153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за счёт амортизации и 340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за счёт прибыли).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Таким образом</w:t>
      </w:r>
      <w:r w:rsidR="00E54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в 2018 году приобретены 10 лазерных принтеров на сумму 0,9 </w:t>
      </w:r>
      <w:proofErr w:type="gramStart"/>
      <w:r w:rsidRPr="00DE16E9">
        <w:rPr>
          <w:rFonts w:ascii="Times New Roman" w:hAnsi="Times New Roman"/>
          <w:sz w:val="24"/>
          <w:szCs w:val="24"/>
          <w:lang w:eastAsia="ru-RU"/>
        </w:rPr>
        <w:t>млн</w:t>
      </w:r>
      <w:proofErr w:type="gram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тенге, 9 МФУ</w:t>
      </w:r>
      <w:r w:rsidR="00E54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на сумму 1,4 млн тенге,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лицензии и программное обеспечение на сумму 3,5 млн тенге, дисковая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система хранения данных на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сумму 14,6 млн тенге и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прочие основные средства на сумму 0,8 млн тенге. В целом исполнение составило 21,2 </w:t>
      </w:r>
      <w:proofErr w:type="gramStart"/>
      <w:r w:rsidRPr="00DE16E9">
        <w:rPr>
          <w:rFonts w:ascii="Times New Roman" w:hAnsi="Times New Roman"/>
          <w:sz w:val="24"/>
          <w:szCs w:val="24"/>
          <w:lang w:eastAsia="ru-RU"/>
        </w:rPr>
        <w:t>млн</w:t>
      </w:r>
      <w:proofErr w:type="gram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тенге</w:t>
      </w:r>
      <w:r w:rsidR="00E54E3E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или 102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%.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16E9">
        <w:rPr>
          <w:rFonts w:ascii="Times New Roman" w:hAnsi="Times New Roman"/>
          <w:b/>
          <w:sz w:val="24"/>
          <w:szCs w:val="24"/>
          <w:lang w:eastAsia="ru-RU"/>
        </w:rPr>
        <w:t>Обоснование приобретения: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Хранение корпоративной информации предприятия, включающей персональные данные о потребителях, потреблении энергии и поступивших платежах должно отвечать требованиям информационной безопасности. При этом информация должна быть доступна с рабочих мест и достоверна. В связи с постоянным увеличением объема информации и недостаточностью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объ</w:t>
      </w:r>
      <w:r w:rsidR="00E54E3E">
        <w:rPr>
          <w:rFonts w:ascii="Times New Roman" w:hAnsi="Times New Roman"/>
          <w:sz w:val="24"/>
          <w:szCs w:val="24"/>
          <w:lang w:eastAsia="ru-RU"/>
        </w:rPr>
        <w:t>ё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ма </w:t>
      </w:r>
      <w:r w:rsidRPr="00DE16E9">
        <w:rPr>
          <w:rFonts w:ascii="Times New Roman" w:hAnsi="Times New Roman"/>
          <w:sz w:val="24"/>
          <w:szCs w:val="24"/>
          <w:lang w:eastAsia="ru-RU"/>
        </w:rPr>
        <w:t>памяти имеющихся серверов возникла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необходимость в </w:t>
      </w:r>
      <w:r w:rsidRPr="00DE16E9">
        <w:rPr>
          <w:rFonts w:ascii="Times New Roman" w:hAnsi="Times New Roman"/>
          <w:b/>
          <w:sz w:val="24"/>
          <w:szCs w:val="24"/>
          <w:lang w:eastAsia="ru-RU"/>
        </w:rPr>
        <w:t xml:space="preserve">приобретении дисковой системы </w:t>
      </w:r>
      <w:r w:rsidRPr="00DE16E9">
        <w:rPr>
          <w:rFonts w:ascii="Times New Roman" w:hAnsi="Times New Roman"/>
          <w:b/>
          <w:sz w:val="24"/>
          <w:szCs w:val="24"/>
          <w:lang w:eastAsia="ru-RU"/>
        </w:rPr>
        <w:lastRenderedPageBreak/>
        <w:t>хранения данных</w:t>
      </w:r>
      <w:r w:rsidRPr="00DE16E9">
        <w:rPr>
          <w:rFonts w:ascii="Times New Roman" w:hAnsi="Times New Roman"/>
          <w:sz w:val="24"/>
          <w:szCs w:val="24"/>
          <w:lang w:eastAsia="ru-RU"/>
        </w:rPr>
        <w:t>, которая обеспечит стабильную работу предприятия и повышение качества обслуживания клиентов.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Каждый работник ТОО «Севказэнергосбыт» в своей работе обслуживает сотни потребителей и взаимодействует с десятками других работников предприятий, сторонних организаций, государственных учреждений, используя в своей работе прикладные программы 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Windows</w:t>
      </w:r>
      <w:proofErr w:type="spellEnd"/>
      <w:r w:rsidRPr="00DE16E9">
        <w:rPr>
          <w:rFonts w:ascii="Times New Roman" w:hAnsi="Times New Roman"/>
          <w:sz w:val="24"/>
          <w:szCs w:val="24"/>
          <w:lang w:eastAsia="ru-RU"/>
        </w:rPr>
        <w:t>. Новое программное обеспечение предъявляет с каждым годом более высокие требования не только к скорости вычислений и передачи данных, но и к платформе, т.е. операционной системе. Поэтому целесообразно эксплуатировать на рабочих станциях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лицензионное, наиболее современное прикладное и системное программное обеспечение. </w:t>
      </w:r>
      <w:r w:rsidRPr="00DE16E9">
        <w:rPr>
          <w:rFonts w:ascii="Times New Roman" w:hAnsi="Times New Roman"/>
          <w:b/>
          <w:sz w:val="24"/>
          <w:szCs w:val="24"/>
          <w:lang w:eastAsia="ru-RU"/>
        </w:rPr>
        <w:t>Приобретение лицензионных программных продуктов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позволит увеличить скорость и улучшить качество обмена информации между работниками, что в свою очередь повысит производительность труда, качество и оперативность реагирования на запросы потребителей.</w:t>
      </w:r>
    </w:p>
    <w:p w:rsidR="00DE16E9" w:rsidRPr="00DE16E9" w:rsidRDefault="00DE16E9" w:rsidP="00DE16E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E16E9">
        <w:rPr>
          <w:rFonts w:ascii="Times New Roman" w:hAnsi="Times New Roman"/>
          <w:b/>
          <w:sz w:val="24"/>
          <w:szCs w:val="24"/>
          <w:lang w:eastAsia="ru-RU"/>
        </w:rPr>
        <w:t>Приобретение принтеров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Все 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эксплуатирующиеся</w:t>
      </w:r>
      <w:proofErr w:type="spell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принтеры предприятия можно подразделить на следующие группы: </w:t>
      </w:r>
    </w:p>
    <w:p w:rsidR="00DE16E9" w:rsidRPr="00DE16E9" w:rsidRDefault="00263115" w:rsidP="00DE1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высокопроизводительные, средней производительности,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 xml:space="preserve"> малой </w:t>
      </w:r>
      <w:r>
        <w:rPr>
          <w:rFonts w:ascii="Times New Roman" w:hAnsi="Times New Roman"/>
          <w:sz w:val="24"/>
          <w:szCs w:val="24"/>
          <w:lang w:eastAsia="ru-RU"/>
        </w:rPr>
        <w:t>производительности.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Из числа эксплуатируемых принтеров</w:t>
      </w:r>
      <w:r w:rsidR="00E54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14 имеют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степень износа </w:t>
      </w:r>
      <w:r w:rsidRPr="00DE16E9">
        <w:rPr>
          <w:rFonts w:ascii="Times New Roman" w:hAnsi="Times New Roman"/>
          <w:sz w:val="24"/>
          <w:szCs w:val="24"/>
          <w:lang w:eastAsia="ru-RU"/>
        </w:rPr>
        <w:t>75-99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%,</w:t>
      </w:r>
      <w:r w:rsidR="00E54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18 имеют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степень износа </w:t>
      </w:r>
      <w:r w:rsidRPr="00DE16E9">
        <w:rPr>
          <w:rFonts w:ascii="Times New Roman" w:hAnsi="Times New Roman"/>
          <w:sz w:val="24"/>
          <w:szCs w:val="24"/>
          <w:lang w:eastAsia="ru-RU"/>
        </w:rPr>
        <w:t>50-75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%.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Учитывая физический износ принтеров, а также планируемое увеличение объёма печати, возникает потребность приобретения новых принтеров. </w:t>
      </w:r>
    </w:p>
    <w:p w:rsidR="00DE16E9" w:rsidRPr="00DE16E9" w:rsidRDefault="00DE16E9" w:rsidP="00DE16E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E16E9">
        <w:rPr>
          <w:rFonts w:ascii="Times New Roman" w:hAnsi="Times New Roman"/>
          <w:b/>
          <w:sz w:val="24"/>
          <w:szCs w:val="24"/>
          <w:lang w:eastAsia="ru-RU"/>
        </w:rPr>
        <w:t xml:space="preserve">Приобретение МФУ 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Приобретение новых МФУ частично взамен принтеров малой производительности ускорит в целом процесс работы и сократит расходы по ремонту и обслуживанию компьютерной техники. При больших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объ</w:t>
      </w:r>
      <w:r w:rsidR="00E54E3E">
        <w:rPr>
          <w:rFonts w:ascii="Times New Roman" w:hAnsi="Times New Roman"/>
          <w:sz w:val="24"/>
          <w:szCs w:val="24"/>
          <w:lang w:eastAsia="ru-RU"/>
        </w:rPr>
        <w:t>ё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мах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требуются только </w:t>
      </w:r>
      <w:proofErr w:type="gramStart"/>
      <w:r w:rsidRPr="00DE16E9">
        <w:rPr>
          <w:rFonts w:ascii="Times New Roman" w:hAnsi="Times New Roman"/>
          <w:sz w:val="24"/>
          <w:szCs w:val="24"/>
          <w:lang w:eastAsia="ru-RU"/>
        </w:rPr>
        <w:t>высокопроизводительные</w:t>
      </w:r>
      <w:proofErr w:type="gram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МФУ. Современные реалии диктуют необходимость «оцифровки» оригиналов договоров с приложениями. Одним из пунктов Правил утверждения тарифов является приложение документов, подтверждающих объём предоставляемых услуг, а именно копии договоров на энергоснабжение. Договорному отделу необходимо ежегодно снимать к заявке на снабжение электрической энергией ориентировочно 18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000 копий и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8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000 копий договоров к заявке по тепловой энергии</w:t>
      </w:r>
      <w:r w:rsidR="00E54E3E">
        <w:rPr>
          <w:rFonts w:ascii="Times New Roman" w:hAnsi="Times New Roman"/>
          <w:sz w:val="24"/>
          <w:szCs w:val="24"/>
          <w:lang w:eastAsia="ru-RU"/>
        </w:rPr>
        <w:t>, в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сего в год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26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000 копий договоров. При этом основное количество договоров являются двухсторонними. Поэтому в год ориентировочно снимают 52 тыс. копий.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Планово-экономический отдел ежегодно при формировании заявки на снабжение электрической энергией снимает копии подтверждающих документов в количестве 11,5 тыс. листов.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Оформление документов на двух языках увеличило общий объём печати и ужесточило требования к скорости печати. В этой связи планируется ежегодное приобретение МФУ для прочих отделов предприятия с заменой старых ксероксов и копиров.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На сегодняшний день ТОО «Севказэнергосбыт» оказывает услуги ЕИРЦ, который создан в целях совершенствования системы обслуживания потребителей. Одной из задач центра является максимальный сбор платежей за коммунальные услуги, снижение уровня дебиторской задолженности потребителей. В связи с расширением функций ЕИРЦ увеличилось количество обслуживаемых абонентов. Для создания условий труда работникам для осуществления своих функциональных обязанностей требуется обеспечение пунктов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при</w:t>
      </w:r>
      <w:r w:rsidR="00E54E3E">
        <w:rPr>
          <w:rFonts w:ascii="Times New Roman" w:hAnsi="Times New Roman"/>
          <w:sz w:val="24"/>
          <w:szCs w:val="24"/>
          <w:lang w:eastAsia="ru-RU"/>
        </w:rPr>
        <w:t>ё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ма </w:t>
      </w:r>
      <w:r w:rsidRPr="00DE16E9">
        <w:rPr>
          <w:rFonts w:ascii="Times New Roman" w:hAnsi="Times New Roman"/>
          <w:sz w:val="24"/>
          <w:szCs w:val="24"/>
          <w:lang w:eastAsia="ru-RU"/>
        </w:rPr>
        <w:t>платежей новой современной оргтехникой, а также замена устаревшего оборудования по предприятию</w:t>
      </w:r>
      <w:r w:rsidR="00E54E3E" w:rsidRPr="00E54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в целом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На основании вышеизложенного целями настоящего инвестиционного проекта является улучшение предприятием своей внутренней работы, а именно: более надёжного хранения накопившейся информации о потребителях, своевременной печати счетов-извещений, сокращения времени на обслуживание одного клиента, обслуживания большего количества абонентов, а также улучшения объёма и качества предоставляемых услуг и снижения уровня дебиторской задолженности.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3115" w:rsidRDefault="00263115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263115" w:rsidSect="00263115">
          <w:pgSz w:w="11906" w:h="16838"/>
          <w:pgMar w:top="289" w:right="567" w:bottom="295" w:left="992" w:header="709" w:footer="709" w:gutter="0"/>
          <w:cols w:space="708"/>
          <w:docGrid w:linePitch="360"/>
        </w:sectPr>
      </w:pPr>
    </w:p>
    <w:p w:rsidR="00DE16E9" w:rsidRPr="00154F02" w:rsidRDefault="00154F02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154F02">
        <w:lastRenderedPageBreak/>
        <w:drawing>
          <wp:inline distT="0" distB="0" distL="0" distR="0" wp14:anchorId="4D069740" wp14:editId="10E54EA4">
            <wp:extent cx="10056622" cy="5119200"/>
            <wp:effectExtent l="0" t="0" r="190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345" cy="512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6E9" w:rsidRPr="00154F02" w:rsidSect="00AA009F">
      <w:pgSz w:w="16838" w:h="11906" w:orient="landscape"/>
      <w:pgMar w:top="992" w:right="567" w:bottom="567" w:left="2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F5" w:rsidRDefault="005C18F5" w:rsidP="005C18F5">
      <w:pPr>
        <w:spacing w:after="0" w:line="240" w:lineRule="auto"/>
      </w:pPr>
      <w:r>
        <w:separator/>
      </w:r>
    </w:p>
  </w:endnote>
  <w:endnote w:type="continuationSeparator" w:id="0">
    <w:p w:rsidR="005C18F5" w:rsidRDefault="005C18F5" w:rsidP="005C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F5" w:rsidRDefault="005C18F5" w:rsidP="005C18F5">
      <w:pPr>
        <w:spacing w:after="0" w:line="240" w:lineRule="auto"/>
      </w:pPr>
      <w:r>
        <w:separator/>
      </w:r>
    </w:p>
  </w:footnote>
  <w:footnote w:type="continuationSeparator" w:id="0">
    <w:p w:rsidR="005C18F5" w:rsidRDefault="005C18F5" w:rsidP="005C1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10622"/>
    <w:multiLevelType w:val="hybridMultilevel"/>
    <w:tmpl w:val="720A6346"/>
    <w:lvl w:ilvl="0" w:tplc="12F22C7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302F68"/>
    <w:multiLevelType w:val="multilevel"/>
    <w:tmpl w:val="A6F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0B6D03"/>
    <w:multiLevelType w:val="hybridMultilevel"/>
    <w:tmpl w:val="D52A6E76"/>
    <w:lvl w:ilvl="0" w:tplc="8DDA4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геев Андрей Михайлович">
    <w15:presenceInfo w15:providerId="AD" w15:userId="S-1-5-21-1417001333-1897051121-682003330-73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34278"/>
    <w:rsid w:val="00056EC2"/>
    <w:rsid w:val="0010557B"/>
    <w:rsid w:val="00117BE8"/>
    <w:rsid w:val="0012235A"/>
    <w:rsid w:val="00154F02"/>
    <w:rsid w:val="001830BE"/>
    <w:rsid w:val="001C6573"/>
    <w:rsid w:val="001F2308"/>
    <w:rsid w:val="00232979"/>
    <w:rsid w:val="00263115"/>
    <w:rsid w:val="00285D91"/>
    <w:rsid w:val="00361BCE"/>
    <w:rsid w:val="00376930"/>
    <w:rsid w:val="003F2565"/>
    <w:rsid w:val="00402D44"/>
    <w:rsid w:val="0041397E"/>
    <w:rsid w:val="004A535D"/>
    <w:rsid w:val="004D449C"/>
    <w:rsid w:val="004D6441"/>
    <w:rsid w:val="004D6F91"/>
    <w:rsid w:val="005C18F5"/>
    <w:rsid w:val="005C5074"/>
    <w:rsid w:val="005D58E3"/>
    <w:rsid w:val="00642B7B"/>
    <w:rsid w:val="00662A20"/>
    <w:rsid w:val="00684236"/>
    <w:rsid w:val="006878D3"/>
    <w:rsid w:val="0069285E"/>
    <w:rsid w:val="00752902"/>
    <w:rsid w:val="007843BB"/>
    <w:rsid w:val="007B1218"/>
    <w:rsid w:val="00805CE1"/>
    <w:rsid w:val="008275ED"/>
    <w:rsid w:val="008E7938"/>
    <w:rsid w:val="00913276"/>
    <w:rsid w:val="0091506F"/>
    <w:rsid w:val="00995964"/>
    <w:rsid w:val="009A18B8"/>
    <w:rsid w:val="009A675B"/>
    <w:rsid w:val="009C64B0"/>
    <w:rsid w:val="00A8180C"/>
    <w:rsid w:val="00AA009F"/>
    <w:rsid w:val="00AA419F"/>
    <w:rsid w:val="00B1184D"/>
    <w:rsid w:val="00B26C8F"/>
    <w:rsid w:val="00B46E52"/>
    <w:rsid w:val="00B72E48"/>
    <w:rsid w:val="00BD6EA8"/>
    <w:rsid w:val="00BE4B25"/>
    <w:rsid w:val="00BF072C"/>
    <w:rsid w:val="00C07A34"/>
    <w:rsid w:val="00C5336E"/>
    <w:rsid w:val="00D0373F"/>
    <w:rsid w:val="00D03BEF"/>
    <w:rsid w:val="00D75278"/>
    <w:rsid w:val="00DC0A58"/>
    <w:rsid w:val="00DC2173"/>
    <w:rsid w:val="00DE16E9"/>
    <w:rsid w:val="00E25F09"/>
    <w:rsid w:val="00E43B6C"/>
    <w:rsid w:val="00E54E3E"/>
    <w:rsid w:val="00ED26D4"/>
    <w:rsid w:val="00F47370"/>
    <w:rsid w:val="00F74C97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3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9A18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5">
    <w:name w:val="Знак Знак Знак Знак Знак Знак Знак Знак"/>
    <w:basedOn w:val="a"/>
    <w:autoRedefine/>
    <w:rsid w:val="009A18B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bodytext2">
    <w:name w:val="bodytext2"/>
    <w:basedOn w:val="a"/>
    <w:rsid w:val="009A18B8"/>
    <w:pPr>
      <w:autoSpaceDE w:val="0"/>
      <w:autoSpaceDN w:val="0"/>
      <w:spacing w:after="0" w:line="240" w:lineRule="auto"/>
      <w:ind w:firstLine="113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18B8"/>
    <w:pPr>
      <w:ind w:left="720"/>
      <w:contextualSpacing/>
    </w:pPr>
  </w:style>
  <w:style w:type="paragraph" w:customStyle="1" w:styleId="21">
    <w:name w:val="Основной текст 21"/>
    <w:basedOn w:val="a"/>
    <w:rsid w:val="00D0373F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Знак Знак Знак Знак Знак Знак Знак Знак"/>
    <w:basedOn w:val="a"/>
    <w:autoRedefine/>
    <w:rsid w:val="00D037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8">
    <w:name w:val="Знак Знак Знак Знак Знак Знак Знак Знак"/>
    <w:basedOn w:val="a"/>
    <w:autoRedefine/>
    <w:rsid w:val="005C50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9">
    <w:name w:val="Table Grid"/>
    <w:basedOn w:val="a1"/>
    <w:uiPriority w:val="59"/>
    <w:rsid w:val="00B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4737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4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"/>
    <w:basedOn w:val="a"/>
    <w:autoRedefine/>
    <w:rsid w:val="0091327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d">
    <w:name w:val="Знак Знак Знак Знак Знак Знак Знак Знак"/>
    <w:basedOn w:val="a"/>
    <w:autoRedefine/>
    <w:rsid w:val="00B1184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361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BCE"/>
    <w:rPr>
      <w:rFonts w:ascii="Calibri" w:eastAsia="Times New Roman" w:hAnsi="Calibri" w:cs="Times New Roman"/>
    </w:rPr>
  </w:style>
  <w:style w:type="paragraph" w:customStyle="1" w:styleId="ae">
    <w:name w:val="Знак Знак Знак Знак Знак Знак Знак Знак"/>
    <w:basedOn w:val="a"/>
    <w:autoRedefine/>
    <w:rsid w:val="00361BC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">
    <w:name w:val="header"/>
    <w:basedOn w:val="a"/>
    <w:link w:val="af0"/>
    <w:uiPriority w:val="99"/>
    <w:unhideWhenUsed/>
    <w:rsid w:val="005C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18F5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5C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18F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3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9A18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5">
    <w:name w:val="Знак Знак Знак Знак Знак Знак Знак Знак"/>
    <w:basedOn w:val="a"/>
    <w:autoRedefine/>
    <w:rsid w:val="009A18B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bodytext2">
    <w:name w:val="bodytext2"/>
    <w:basedOn w:val="a"/>
    <w:rsid w:val="009A18B8"/>
    <w:pPr>
      <w:autoSpaceDE w:val="0"/>
      <w:autoSpaceDN w:val="0"/>
      <w:spacing w:after="0" w:line="240" w:lineRule="auto"/>
      <w:ind w:firstLine="113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18B8"/>
    <w:pPr>
      <w:ind w:left="720"/>
      <w:contextualSpacing/>
    </w:pPr>
  </w:style>
  <w:style w:type="paragraph" w:customStyle="1" w:styleId="21">
    <w:name w:val="Основной текст 21"/>
    <w:basedOn w:val="a"/>
    <w:rsid w:val="00D0373F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Знак Знак Знак Знак Знак Знак Знак Знак"/>
    <w:basedOn w:val="a"/>
    <w:autoRedefine/>
    <w:rsid w:val="00D037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8">
    <w:name w:val="Знак Знак Знак Знак Знак Знак Знак Знак"/>
    <w:basedOn w:val="a"/>
    <w:autoRedefine/>
    <w:rsid w:val="005C50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9">
    <w:name w:val="Table Grid"/>
    <w:basedOn w:val="a1"/>
    <w:uiPriority w:val="59"/>
    <w:rsid w:val="00B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4737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4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"/>
    <w:basedOn w:val="a"/>
    <w:autoRedefine/>
    <w:rsid w:val="0091327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d">
    <w:name w:val="Знак Знак Знак Знак Знак Знак Знак Знак"/>
    <w:basedOn w:val="a"/>
    <w:autoRedefine/>
    <w:rsid w:val="00B1184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361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BCE"/>
    <w:rPr>
      <w:rFonts w:ascii="Calibri" w:eastAsia="Times New Roman" w:hAnsi="Calibri" w:cs="Times New Roman"/>
    </w:rPr>
  </w:style>
  <w:style w:type="paragraph" w:customStyle="1" w:styleId="ae">
    <w:name w:val="Знак Знак Знак Знак Знак Знак Знак Знак"/>
    <w:basedOn w:val="a"/>
    <w:autoRedefine/>
    <w:rsid w:val="00361BC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">
    <w:name w:val="header"/>
    <w:basedOn w:val="a"/>
    <w:link w:val="af0"/>
    <w:uiPriority w:val="99"/>
    <w:unhideWhenUsed/>
    <w:rsid w:val="005C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18F5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5C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18F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F5FD-7868-4A77-8AC9-F82533B5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Шевелева Раиса Есимовна</cp:lastModifiedBy>
  <cp:revision>11</cp:revision>
  <cp:lastPrinted>2019-04-17T08:22:00Z</cp:lastPrinted>
  <dcterms:created xsi:type="dcterms:W3CDTF">2019-04-17T06:22:00Z</dcterms:created>
  <dcterms:modified xsi:type="dcterms:W3CDTF">2019-04-25T11:07:00Z</dcterms:modified>
</cp:coreProperties>
</file>