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2"/>
        <w:tblW w:w="10346" w:type="dxa"/>
        <w:tblLook w:val="01E0" w:firstRow="1" w:lastRow="1" w:firstColumn="1" w:lastColumn="1" w:noHBand="0" w:noVBand="0"/>
      </w:tblPr>
      <w:tblGrid>
        <w:gridCol w:w="3574"/>
        <w:gridCol w:w="3197"/>
        <w:gridCol w:w="3575"/>
      </w:tblGrid>
      <w:tr w:rsidR="00CA50E7" w:rsidRPr="00780E64" w:rsidTr="002D51F7">
        <w:trPr>
          <w:trHeight w:val="1586"/>
        </w:trPr>
        <w:tc>
          <w:tcPr>
            <w:tcW w:w="3574" w:type="dxa"/>
          </w:tcPr>
          <w:p w:rsidR="00CA50E7" w:rsidRPr="00780E64" w:rsidRDefault="00CA50E7" w:rsidP="002D51F7">
            <w:pPr>
              <w:jc w:val="center"/>
              <w:rPr>
                <w:b/>
                <w:bCs/>
                <w:color w:val="333333"/>
                <w:sz w:val="22"/>
                <w:szCs w:val="22"/>
              </w:rPr>
            </w:pPr>
            <w:bookmarkStart w:id="0" w:name="_GoBack"/>
            <w:bookmarkEnd w:id="0"/>
            <w:r w:rsidRPr="00780E64">
              <w:rPr>
                <w:b/>
                <w:bCs/>
                <w:color w:val="333333"/>
                <w:sz w:val="22"/>
                <w:szCs w:val="22"/>
              </w:rPr>
              <w:t>«СЕВКАЗЭНЕРГО»</w:t>
            </w:r>
          </w:p>
          <w:p w:rsidR="00CA50E7" w:rsidRPr="00780E64" w:rsidRDefault="00CA50E7" w:rsidP="002D51F7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 w:rsidRPr="00780E64">
              <w:rPr>
                <w:b/>
                <w:bCs/>
                <w:color w:val="333333"/>
                <w:sz w:val="22"/>
                <w:szCs w:val="22"/>
                <w:lang w:val="kk-KZ"/>
              </w:rPr>
              <w:t>Акционерлік қоғамы</w:t>
            </w:r>
          </w:p>
          <w:p w:rsidR="00CA50E7" w:rsidRPr="00780E64" w:rsidRDefault="00CA50E7" w:rsidP="002D51F7">
            <w:pPr>
              <w:rPr>
                <w:color w:val="333333"/>
                <w:sz w:val="22"/>
                <w:szCs w:val="22"/>
              </w:rPr>
            </w:pPr>
          </w:p>
          <w:p w:rsidR="00CA50E7" w:rsidRPr="00780E64" w:rsidRDefault="00CA50E7" w:rsidP="002D51F7">
            <w:pPr>
              <w:rPr>
                <w:color w:val="333333"/>
                <w:sz w:val="22"/>
                <w:szCs w:val="22"/>
              </w:rPr>
            </w:pPr>
          </w:p>
          <w:p w:rsidR="00CA50E7" w:rsidRPr="00780E64" w:rsidRDefault="00CA50E7" w:rsidP="002D51F7">
            <w:pPr>
              <w:rPr>
                <w:color w:val="333333"/>
                <w:sz w:val="22"/>
                <w:szCs w:val="22"/>
              </w:rPr>
            </w:pPr>
          </w:p>
        </w:tc>
        <w:tc>
          <w:tcPr>
            <w:tcW w:w="3197" w:type="dxa"/>
          </w:tcPr>
          <w:p w:rsidR="00CA50E7" w:rsidRPr="00780E64" w:rsidRDefault="00CA50E7" w:rsidP="002D51F7">
            <w:pPr>
              <w:rPr>
                <w:color w:val="333333"/>
                <w:sz w:val="22"/>
                <w:szCs w:val="22"/>
              </w:rPr>
            </w:pPr>
            <w:r w:rsidRPr="00780E64">
              <w:rPr>
                <w:rFonts w:ascii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79C54C9C" wp14:editId="2119026C">
                  <wp:simplePos x="0" y="0"/>
                  <wp:positionH relativeFrom="column">
                    <wp:posOffset>27443</wp:posOffset>
                  </wp:positionH>
                  <wp:positionV relativeFrom="paragraph">
                    <wp:posOffset>635</wp:posOffset>
                  </wp:positionV>
                  <wp:extent cx="1988820" cy="913130"/>
                  <wp:effectExtent l="0" t="0" r="0" b="1270"/>
                  <wp:wrapNone/>
                  <wp:docPr id="4" name="Рисунок 4" descr="Логотип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lum bright="-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8820" cy="9131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5" w:type="dxa"/>
            <w:hideMark/>
          </w:tcPr>
          <w:p w:rsidR="00CA50E7" w:rsidRPr="00780E64" w:rsidRDefault="00CA50E7" w:rsidP="002D51F7">
            <w:pPr>
              <w:jc w:val="center"/>
              <w:rPr>
                <w:b/>
                <w:bCs/>
                <w:color w:val="333333"/>
                <w:sz w:val="22"/>
                <w:szCs w:val="22"/>
                <w:lang w:val="kk-KZ"/>
              </w:rPr>
            </w:pPr>
            <w:r w:rsidRPr="00780E64">
              <w:rPr>
                <w:b/>
                <w:bCs/>
                <w:color w:val="333333"/>
                <w:sz w:val="22"/>
                <w:szCs w:val="22"/>
                <w:lang w:val="kk-KZ"/>
              </w:rPr>
              <w:t>Акционерное общество</w:t>
            </w:r>
          </w:p>
          <w:p w:rsidR="00CA50E7" w:rsidRPr="00780E64" w:rsidRDefault="00CA50E7" w:rsidP="002D51F7">
            <w:pPr>
              <w:jc w:val="center"/>
              <w:rPr>
                <w:color w:val="333333"/>
                <w:sz w:val="22"/>
                <w:szCs w:val="22"/>
              </w:rPr>
            </w:pPr>
            <w:r w:rsidRPr="00780E64">
              <w:rPr>
                <w:b/>
                <w:bCs/>
                <w:color w:val="333333"/>
                <w:sz w:val="22"/>
                <w:szCs w:val="22"/>
                <w:lang w:val="kk-KZ"/>
              </w:rPr>
              <w:t>«СЕВКАЗЭНЕРГО</w:t>
            </w:r>
            <w:r w:rsidRPr="00780E64">
              <w:rPr>
                <w:b/>
                <w:bCs/>
                <w:color w:val="333333"/>
                <w:sz w:val="22"/>
                <w:szCs w:val="22"/>
              </w:rPr>
              <w:t>»</w:t>
            </w:r>
          </w:p>
        </w:tc>
      </w:tr>
    </w:tbl>
    <w:p w:rsidR="001C2816" w:rsidRPr="00780E64" w:rsidRDefault="001C2816" w:rsidP="001C2816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780E64" w:rsidRDefault="001C2816" w:rsidP="001C2816">
      <w:pPr>
        <w:contextualSpacing/>
        <w:rPr>
          <w:b/>
          <w:bCs/>
          <w:sz w:val="22"/>
          <w:szCs w:val="22"/>
          <w:shd w:val="clear" w:color="auto" w:fill="FFFFFF"/>
        </w:rPr>
      </w:pPr>
      <w:r w:rsidRPr="00780E64">
        <w:rPr>
          <w:b/>
          <w:bCs/>
          <w:sz w:val="22"/>
          <w:szCs w:val="22"/>
          <w:shd w:val="clear" w:color="auto" w:fill="FFFFFF"/>
        </w:rPr>
        <w:t xml:space="preserve">г. Петропавловск </w:t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</w:r>
      <w:r w:rsidRPr="00780E64">
        <w:rPr>
          <w:b/>
          <w:bCs/>
          <w:sz w:val="22"/>
          <w:szCs w:val="22"/>
          <w:shd w:val="clear" w:color="auto" w:fill="FFFFFF"/>
        </w:rPr>
        <w:tab/>
        <w:t xml:space="preserve">                       </w:t>
      </w:r>
      <w:r w:rsidR="00F52153">
        <w:rPr>
          <w:b/>
          <w:bCs/>
          <w:sz w:val="22"/>
          <w:szCs w:val="22"/>
          <w:shd w:val="clear" w:color="auto" w:fill="FFFFFF"/>
        </w:rPr>
        <w:t xml:space="preserve">     </w:t>
      </w:r>
      <w:r w:rsidRPr="00780E64">
        <w:rPr>
          <w:b/>
          <w:bCs/>
          <w:sz w:val="22"/>
          <w:szCs w:val="22"/>
          <w:shd w:val="clear" w:color="auto" w:fill="FFFFFF"/>
        </w:rPr>
        <w:t xml:space="preserve">24 марта 2017 г. </w:t>
      </w:r>
    </w:p>
    <w:p w:rsidR="001C2816" w:rsidRPr="00780E64" w:rsidRDefault="001C2816" w:rsidP="001C2816">
      <w:pPr>
        <w:contextualSpacing/>
        <w:rPr>
          <w:b/>
          <w:bCs/>
          <w:sz w:val="22"/>
          <w:szCs w:val="22"/>
          <w:shd w:val="clear" w:color="auto" w:fill="FFFFFF"/>
        </w:rPr>
      </w:pPr>
    </w:p>
    <w:p w:rsidR="001C2816" w:rsidRPr="00780E64" w:rsidRDefault="001C2816" w:rsidP="001C2816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  <w:r w:rsidRPr="00780E64">
        <w:rPr>
          <w:b/>
          <w:bCs/>
          <w:sz w:val="22"/>
          <w:szCs w:val="22"/>
          <w:shd w:val="clear" w:color="auto" w:fill="FFFFFF"/>
        </w:rPr>
        <w:t>О деятельности Петропавловской ТЭЦ-2 АО «СЕВКАЗЭНЕРГО» по предоставлению регулируемых услуг по итогам 2016 года</w:t>
      </w:r>
    </w:p>
    <w:p w:rsidR="001C2816" w:rsidRPr="00780E64" w:rsidRDefault="001C2816" w:rsidP="001C2816">
      <w:pPr>
        <w:contextualSpacing/>
        <w:jc w:val="center"/>
        <w:rPr>
          <w:b/>
          <w:bCs/>
          <w:sz w:val="22"/>
          <w:szCs w:val="22"/>
          <w:shd w:val="clear" w:color="auto" w:fill="FFFFFF"/>
        </w:rPr>
      </w:pPr>
    </w:p>
    <w:p w:rsidR="00C50645" w:rsidRPr="00780E64" w:rsidRDefault="00F52153" w:rsidP="007B475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Петропавловская ТЭЦ-2 </w:t>
      </w:r>
      <w:r w:rsidR="00CE2525" w:rsidRPr="00780E64">
        <w:rPr>
          <w:sz w:val="22"/>
          <w:szCs w:val="22"/>
        </w:rPr>
        <w:t>АО «</w:t>
      </w:r>
      <w:r w:rsidR="002C06E6" w:rsidRPr="00780E64">
        <w:rPr>
          <w:sz w:val="22"/>
          <w:szCs w:val="22"/>
        </w:rPr>
        <w:t>СЕВКАЗЭНЕРГО</w:t>
      </w:r>
      <w:r w:rsidR="00CE2525" w:rsidRPr="00780E64">
        <w:rPr>
          <w:sz w:val="22"/>
          <w:szCs w:val="22"/>
        </w:rPr>
        <w:t>»</w:t>
      </w:r>
      <w:r w:rsidR="00C50645" w:rsidRPr="00780E64">
        <w:rPr>
          <w:sz w:val="22"/>
          <w:szCs w:val="22"/>
        </w:rPr>
        <w:t xml:space="preserve"> </w:t>
      </w:r>
      <w:r w:rsidR="008D5559" w:rsidRPr="00780E64">
        <w:rPr>
          <w:sz w:val="22"/>
          <w:szCs w:val="22"/>
        </w:rPr>
        <w:t xml:space="preserve">– </w:t>
      </w:r>
      <w:r w:rsidR="00116FDE" w:rsidRPr="00780E64">
        <w:rPr>
          <w:sz w:val="22"/>
          <w:szCs w:val="22"/>
        </w:rPr>
        <w:t>это теплоэлектроцентраль, основным видом деятельности которой является комбинированное производство электрической и тепловой энергии.</w:t>
      </w:r>
    </w:p>
    <w:p w:rsidR="008A4EE4" w:rsidRPr="00780E64" w:rsidRDefault="008A4EE4" w:rsidP="007B475E">
      <w:pPr>
        <w:ind w:firstLine="567"/>
        <w:jc w:val="both"/>
        <w:rPr>
          <w:sz w:val="22"/>
          <w:szCs w:val="22"/>
        </w:rPr>
      </w:pPr>
      <w:r w:rsidRPr="00780E64">
        <w:rPr>
          <w:sz w:val="22"/>
          <w:szCs w:val="22"/>
        </w:rPr>
        <w:t xml:space="preserve">Приказом Департамента Агентства РК по регулированию естественных монополий по СКО от 27 января 2009 года №19-ОД АО «СЕВКАЗЭНЕРГО» включено в местный раздел Государственного регистра субъектов естественных монополий по СКО по производству тепловой  энергии. </w:t>
      </w:r>
    </w:p>
    <w:p w:rsidR="008A4EE4" w:rsidRPr="00780E64" w:rsidRDefault="00A63862" w:rsidP="007B475E">
      <w:pPr>
        <w:ind w:firstLine="567"/>
        <w:jc w:val="both"/>
        <w:rPr>
          <w:sz w:val="22"/>
          <w:szCs w:val="22"/>
        </w:rPr>
      </w:pPr>
      <w:proofErr w:type="gramStart"/>
      <w:r w:rsidRPr="00780E64">
        <w:rPr>
          <w:sz w:val="22"/>
          <w:szCs w:val="22"/>
        </w:rPr>
        <w:t xml:space="preserve">С 1 января 2016 года приказом Департамента Комитета по регулированию естественных монополий и защите конкуренции Министерства национальной экономики Республики </w:t>
      </w:r>
      <w:r w:rsidR="002D51F7" w:rsidRPr="00780E64">
        <w:rPr>
          <w:sz w:val="22"/>
          <w:szCs w:val="22"/>
        </w:rPr>
        <w:t>К</w:t>
      </w:r>
      <w:r w:rsidRPr="00780E64">
        <w:rPr>
          <w:sz w:val="22"/>
          <w:szCs w:val="22"/>
        </w:rPr>
        <w:t>азахстан по Северо-Казахстанской области от 24 ноября 2015 года № 152 – ОД «Об утверждении предельного уровня тарифа и тарифной сметы на услугу по производству тепловой энергии АО «СЕВКАЗЭНЕРГО» на долгосрочный пер</w:t>
      </w:r>
      <w:r w:rsidR="002D51F7" w:rsidRPr="00780E64">
        <w:rPr>
          <w:sz w:val="22"/>
          <w:szCs w:val="22"/>
        </w:rPr>
        <w:t>и</w:t>
      </w:r>
      <w:r w:rsidRPr="00780E64">
        <w:rPr>
          <w:sz w:val="22"/>
          <w:szCs w:val="22"/>
        </w:rPr>
        <w:t>од с 1 января 2016 года по 31 декабря 2020 года» введен</w:t>
      </w:r>
      <w:proofErr w:type="gramEnd"/>
      <w:r w:rsidRPr="00780E64">
        <w:rPr>
          <w:sz w:val="22"/>
          <w:szCs w:val="22"/>
        </w:rPr>
        <w:t xml:space="preserve"> тариф на регулируемую услугу в размере 1783,32 тенге/Гкал без учёта НДС.</w:t>
      </w:r>
    </w:p>
    <w:p w:rsidR="00FA0566" w:rsidRPr="00780E64" w:rsidRDefault="004076E1" w:rsidP="007B475E">
      <w:pPr>
        <w:ind w:firstLine="567"/>
        <w:jc w:val="both"/>
        <w:rPr>
          <w:sz w:val="22"/>
          <w:szCs w:val="22"/>
        </w:rPr>
      </w:pPr>
      <w:r w:rsidRPr="004076E1">
        <w:rPr>
          <w:sz w:val="22"/>
          <w:szCs w:val="22"/>
        </w:rPr>
        <w:t xml:space="preserve">8 июля 2016 года АО «СЕВКАЗЭНЕРГО» обратилось в Департамент с заявкой на утверждение тарифа на производство тепловой энергии в качестве чрезвычайной регулирующей меры. </w:t>
      </w:r>
      <w:proofErr w:type="gramStart"/>
      <w:r w:rsidRPr="004076E1">
        <w:rPr>
          <w:sz w:val="22"/>
          <w:szCs w:val="22"/>
        </w:rPr>
        <w:t>Приказом Департамента Комитета по регулированию естественных монополий и защите конкуренции Министерства национальной экономики Республики Казахстан по Северо-Казахстанской области от 29 июля 2016 года № 57 – ОД «Об утверждении тарифа и тарифной сметы в качестве чрезвычайной регулирующей меры на услугу по производству тепловой энергии АО «СЕВКАЗЭНЕРГО на период с 5 августа 2016 года по 31 декабря 2016 года» введен тариф в размере</w:t>
      </w:r>
      <w:proofErr w:type="gramEnd"/>
      <w:r w:rsidRPr="004076E1">
        <w:rPr>
          <w:sz w:val="22"/>
          <w:szCs w:val="22"/>
        </w:rPr>
        <w:t xml:space="preserve"> 1798,16 тенге/Гкал без учёта НДС.</w:t>
      </w:r>
    </w:p>
    <w:p w:rsidR="00D65CB8" w:rsidRPr="00780E64" w:rsidRDefault="000B193F" w:rsidP="007B475E">
      <w:pPr>
        <w:ind w:firstLine="567"/>
        <w:jc w:val="both"/>
        <w:rPr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t xml:space="preserve">Основными потребителями тепловой энергии АО «СЕВКАЗЭНЕРГО» являются: ТОО «Петропавловские тепловые сети» и ТОО «Севказэнергосбыт». Проводимая работа с потребителями осуществляется в рамках действующего законодательства о естественных монополиях и регламентирована обязанностями субъекта естественной монополии </w:t>
      </w:r>
      <w:proofErr w:type="gramStart"/>
      <w:r w:rsidRPr="00780E64">
        <w:rPr>
          <w:bCs/>
          <w:kern w:val="2"/>
          <w:sz w:val="22"/>
          <w:szCs w:val="22"/>
        </w:rPr>
        <w:t>предоставлять</w:t>
      </w:r>
      <w:proofErr w:type="gramEnd"/>
      <w:r w:rsidRPr="00780E64">
        <w:rPr>
          <w:bCs/>
          <w:kern w:val="2"/>
          <w:sz w:val="22"/>
          <w:szCs w:val="22"/>
        </w:rPr>
        <w:t xml:space="preserve"> регулируемые услуги по тарифам, утвержденным уполномоченным органом, в том числе предоставлять равные условия потребителям в порядке</w:t>
      </w:r>
      <w:r w:rsidR="00F52153">
        <w:rPr>
          <w:bCs/>
          <w:kern w:val="2"/>
          <w:sz w:val="22"/>
          <w:szCs w:val="22"/>
        </w:rPr>
        <w:t>,</w:t>
      </w:r>
      <w:r w:rsidRPr="00780E64">
        <w:rPr>
          <w:bCs/>
          <w:kern w:val="2"/>
          <w:sz w:val="22"/>
          <w:szCs w:val="22"/>
        </w:rPr>
        <w:t xml:space="preserve"> утвержденном уполномоченным органом.</w:t>
      </w:r>
    </w:p>
    <w:p w:rsidR="00EC30FF" w:rsidRPr="00780E64" w:rsidRDefault="00EC30FF" w:rsidP="007B475E">
      <w:pPr>
        <w:pStyle w:val="2"/>
        <w:ind w:firstLine="567"/>
        <w:jc w:val="center"/>
        <w:rPr>
          <w:b/>
          <w:sz w:val="22"/>
          <w:szCs w:val="22"/>
        </w:rPr>
      </w:pPr>
    </w:p>
    <w:p w:rsidR="00C50645" w:rsidRPr="00780E64" w:rsidRDefault="00C50645" w:rsidP="007B475E">
      <w:pPr>
        <w:pStyle w:val="2"/>
        <w:ind w:firstLine="567"/>
        <w:jc w:val="center"/>
        <w:rPr>
          <w:b/>
          <w:sz w:val="22"/>
          <w:szCs w:val="22"/>
        </w:rPr>
      </w:pPr>
      <w:r w:rsidRPr="00780E64">
        <w:rPr>
          <w:b/>
          <w:sz w:val="22"/>
          <w:szCs w:val="22"/>
        </w:rPr>
        <w:t>Основные технико-экономические показатели</w:t>
      </w:r>
    </w:p>
    <w:tbl>
      <w:tblPr>
        <w:tblW w:w="0" w:type="auto"/>
        <w:tblCellSpacing w:w="20" w:type="dxa"/>
        <w:tblInd w:w="208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695"/>
        <w:gridCol w:w="5542"/>
        <w:gridCol w:w="1701"/>
        <w:gridCol w:w="2127"/>
      </w:tblGrid>
      <w:tr w:rsidR="009530AE" w:rsidRPr="00780E64" w:rsidTr="009C6814">
        <w:trPr>
          <w:trHeight w:val="372"/>
          <w:tblCellSpacing w:w="20" w:type="dxa"/>
        </w:trPr>
        <w:tc>
          <w:tcPr>
            <w:tcW w:w="635" w:type="dxa"/>
            <w:shd w:val="clear" w:color="auto" w:fill="auto"/>
            <w:vAlign w:val="center"/>
          </w:tcPr>
          <w:p w:rsidR="00C50645" w:rsidRPr="00780E64" w:rsidRDefault="00C50645" w:rsidP="009C681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80E64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780E64">
              <w:rPr>
                <w:b/>
                <w:sz w:val="22"/>
                <w:szCs w:val="22"/>
              </w:rPr>
              <w:t>п</w:t>
            </w:r>
            <w:proofErr w:type="gramEnd"/>
            <w:r w:rsidRPr="00780E64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5502" w:type="dxa"/>
            <w:shd w:val="clear" w:color="auto" w:fill="auto"/>
            <w:vAlign w:val="center"/>
          </w:tcPr>
          <w:p w:rsidR="00C50645" w:rsidRPr="00780E64" w:rsidRDefault="009275A7" w:rsidP="009C681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80E64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C50645" w:rsidRPr="00780E64" w:rsidRDefault="009275A7" w:rsidP="009C6814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80E64">
              <w:rPr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C50645" w:rsidRPr="00780E64" w:rsidRDefault="00AE0733" w:rsidP="00CA50E7">
            <w:pPr>
              <w:pStyle w:val="2"/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780E64">
              <w:rPr>
                <w:b/>
                <w:sz w:val="22"/>
                <w:szCs w:val="22"/>
              </w:rPr>
              <w:t xml:space="preserve">Отчет за </w:t>
            </w:r>
            <w:r w:rsidR="009275A7" w:rsidRPr="00780E64">
              <w:rPr>
                <w:b/>
                <w:sz w:val="22"/>
                <w:szCs w:val="22"/>
              </w:rPr>
              <w:t>20</w:t>
            </w:r>
            <w:r w:rsidR="00552848" w:rsidRPr="00780E64">
              <w:rPr>
                <w:b/>
                <w:sz w:val="22"/>
                <w:szCs w:val="22"/>
              </w:rPr>
              <w:t>1</w:t>
            </w:r>
            <w:r w:rsidR="00CA50E7" w:rsidRPr="00780E64">
              <w:rPr>
                <w:b/>
                <w:sz w:val="22"/>
                <w:szCs w:val="22"/>
              </w:rPr>
              <w:t>6</w:t>
            </w:r>
            <w:r w:rsidR="00A16D78" w:rsidRPr="00780E64">
              <w:rPr>
                <w:b/>
                <w:sz w:val="22"/>
                <w:szCs w:val="22"/>
              </w:rPr>
              <w:t xml:space="preserve"> </w:t>
            </w:r>
            <w:r w:rsidR="009275A7" w:rsidRPr="00780E64">
              <w:rPr>
                <w:b/>
                <w:sz w:val="22"/>
                <w:szCs w:val="22"/>
              </w:rPr>
              <w:t>год</w:t>
            </w:r>
          </w:p>
        </w:tc>
      </w:tr>
      <w:tr w:rsidR="009530AE" w:rsidRPr="00780E64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6379F5" w:rsidRPr="00780E64" w:rsidRDefault="006379F5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</w:t>
            </w:r>
          </w:p>
        </w:tc>
        <w:tc>
          <w:tcPr>
            <w:tcW w:w="5502" w:type="dxa"/>
            <w:shd w:val="clear" w:color="auto" w:fill="auto"/>
          </w:tcPr>
          <w:p w:rsidR="00C50645" w:rsidRPr="00780E64" w:rsidRDefault="00D377EA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Выработка электроэнергии</w:t>
            </w:r>
          </w:p>
        </w:tc>
        <w:tc>
          <w:tcPr>
            <w:tcW w:w="1661" w:type="dxa"/>
            <w:shd w:val="clear" w:color="auto" w:fill="auto"/>
          </w:tcPr>
          <w:p w:rsidR="00C50645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D377EA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D377EA" w:rsidRPr="00780E64"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</w:rPr>
              <w:sym w:font="Symbol" w:char="F0D7"/>
            </w:r>
            <w:r w:rsidR="00D377EA" w:rsidRPr="00780E64">
              <w:rPr>
                <w:sz w:val="22"/>
                <w:szCs w:val="22"/>
              </w:rPr>
              <w:t>ч</w:t>
            </w:r>
          </w:p>
        </w:tc>
        <w:tc>
          <w:tcPr>
            <w:tcW w:w="2067" w:type="dxa"/>
            <w:shd w:val="clear" w:color="auto" w:fill="auto"/>
          </w:tcPr>
          <w:p w:rsidR="00C50645" w:rsidRPr="00780E64" w:rsidRDefault="00CA50E7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3207,9</w:t>
            </w:r>
          </w:p>
        </w:tc>
      </w:tr>
      <w:tr w:rsidR="006F597C" w:rsidRPr="00780E64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6F597C" w:rsidRPr="00780E64" w:rsidRDefault="008E4C08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</w:t>
            </w:r>
          </w:p>
        </w:tc>
        <w:tc>
          <w:tcPr>
            <w:tcW w:w="5502" w:type="dxa"/>
            <w:shd w:val="clear" w:color="auto" w:fill="auto"/>
          </w:tcPr>
          <w:p w:rsidR="006F597C" w:rsidRPr="00780E64" w:rsidRDefault="00603FCA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Отпуск теплоэнергии с коллекторов</w:t>
            </w:r>
          </w:p>
        </w:tc>
        <w:tc>
          <w:tcPr>
            <w:tcW w:w="1661" w:type="dxa"/>
            <w:shd w:val="clear" w:color="auto" w:fill="auto"/>
          </w:tcPr>
          <w:p w:rsidR="006F597C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603FCA" w:rsidRPr="00780E64">
              <w:rPr>
                <w:sz w:val="22"/>
                <w:szCs w:val="22"/>
              </w:rPr>
              <w:t>ыс</w:t>
            </w:r>
            <w:r>
              <w:rPr>
                <w:sz w:val="22"/>
                <w:szCs w:val="22"/>
              </w:rPr>
              <w:t xml:space="preserve">. </w:t>
            </w:r>
            <w:r w:rsidR="00603FCA" w:rsidRPr="00780E64">
              <w:rPr>
                <w:sz w:val="22"/>
                <w:szCs w:val="22"/>
              </w:rPr>
              <w:t>Гкал</w:t>
            </w:r>
          </w:p>
        </w:tc>
        <w:tc>
          <w:tcPr>
            <w:tcW w:w="2067" w:type="dxa"/>
            <w:shd w:val="clear" w:color="auto" w:fill="auto"/>
          </w:tcPr>
          <w:p w:rsidR="006F597C" w:rsidRPr="00780E64" w:rsidRDefault="00CA50E7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1904,6</w:t>
            </w:r>
          </w:p>
        </w:tc>
      </w:tr>
      <w:tr w:rsidR="00AE0733" w:rsidRPr="00780E64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AE0733" w:rsidRPr="00780E64" w:rsidRDefault="008E4C08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</w:t>
            </w:r>
          </w:p>
        </w:tc>
        <w:tc>
          <w:tcPr>
            <w:tcW w:w="5502" w:type="dxa"/>
            <w:shd w:val="clear" w:color="auto" w:fill="auto"/>
          </w:tcPr>
          <w:p w:rsidR="00AE0733" w:rsidRPr="00780E64" w:rsidRDefault="00603FCA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Собственные нужды</w:t>
            </w:r>
          </w:p>
        </w:tc>
        <w:tc>
          <w:tcPr>
            <w:tcW w:w="1661" w:type="dxa"/>
            <w:shd w:val="clear" w:color="auto" w:fill="auto"/>
          </w:tcPr>
          <w:p w:rsidR="00AE0733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603FCA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603FCA" w:rsidRPr="00780E64">
              <w:rPr>
                <w:sz w:val="22"/>
                <w:szCs w:val="22"/>
              </w:rPr>
              <w:t>кВт</w:t>
            </w:r>
            <w:r>
              <w:rPr>
                <w:sz w:val="22"/>
                <w:szCs w:val="22"/>
              </w:rPr>
              <w:sym w:font="Symbol" w:char="F0D7"/>
            </w:r>
            <w:r w:rsidR="00603FCA" w:rsidRPr="00780E64">
              <w:rPr>
                <w:sz w:val="22"/>
                <w:szCs w:val="22"/>
              </w:rPr>
              <w:t>ч</w:t>
            </w:r>
          </w:p>
        </w:tc>
        <w:tc>
          <w:tcPr>
            <w:tcW w:w="2067" w:type="dxa"/>
            <w:shd w:val="clear" w:color="auto" w:fill="auto"/>
          </w:tcPr>
          <w:p w:rsidR="00283438" w:rsidRPr="00780E64" w:rsidRDefault="00CA50E7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372,2</w:t>
            </w:r>
          </w:p>
        </w:tc>
      </w:tr>
      <w:tr w:rsidR="009530AE" w:rsidRPr="00780E64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C50645" w:rsidRPr="00780E64" w:rsidRDefault="008E4C08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</w:t>
            </w:r>
          </w:p>
        </w:tc>
        <w:tc>
          <w:tcPr>
            <w:tcW w:w="5502" w:type="dxa"/>
            <w:shd w:val="clear" w:color="auto" w:fill="auto"/>
          </w:tcPr>
          <w:p w:rsidR="00C50645" w:rsidRPr="00780E64" w:rsidRDefault="00A92B40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Среднесписочная численность персонала</w:t>
            </w:r>
          </w:p>
        </w:tc>
        <w:tc>
          <w:tcPr>
            <w:tcW w:w="1661" w:type="dxa"/>
            <w:shd w:val="clear" w:color="auto" w:fill="auto"/>
          </w:tcPr>
          <w:p w:rsidR="00C50645" w:rsidRPr="00780E64" w:rsidRDefault="00A92B40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чел.</w:t>
            </w:r>
          </w:p>
        </w:tc>
        <w:tc>
          <w:tcPr>
            <w:tcW w:w="2067" w:type="dxa"/>
            <w:shd w:val="clear" w:color="auto" w:fill="auto"/>
          </w:tcPr>
          <w:p w:rsidR="00C50645" w:rsidRPr="00780E64" w:rsidRDefault="00EF11E4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813</w:t>
            </w:r>
          </w:p>
        </w:tc>
      </w:tr>
      <w:tr w:rsidR="009530AE" w:rsidRPr="00780E64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825020" w:rsidRPr="00780E64" w:rsidRDefault="00C3588E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</w:t>
            </w:r>
          </w:p>
        </w:tc>
        <w:tc>
          <w:tcPr>
            <w:tcW w:w="5502" w:type="dxa"/>
            <w:shd w:val="clear" w:color="auto" w:fill="auto"/>
          </w:tcPr>
          <w:p w:rsidR="00825020" w:rsidRPr="00780E64" w:rsidRDefault="00A92B40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Доход от основной деятельности</w:t>
            </w:r>
          </w:p>
        </w:tc>
        <w:tc>
          <w:tcPr>
            <w:tcW w:w="1661" w:type="dxa"/>
            <w:shd w:val="clear" w:color="auto" w:fill="auto"/>
          </w:tcPr>
          <w:p w:rsidR="00825020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A92B40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A92B40" w:rsidRPr="00780E64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825020" w:rsidRPr="00780E64" w:rsidRDefault="002D51F7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26 045,5</w:t>
            </w:r>
          </w:p>
        </w:tc>
      </w:tr>
      <w:tr w:rsidR="008D0EE2" w:rsidRPr="00780E64" w:rsidTr="00533E9D">
        <w:trPr>
          <w:trHeight w:val="281"/>
          <w:tblCellSpacing w:w="20" w:type="dxa"/>
        </w:trPr>
        <w:tc>
          <w:tcPr>
            <w:tcW w:w="635" w:type="dxa"/>
            <w:shd w:val="clear" w:color="auto" w:fill="auto"/>
          </w:tcPr>
          <w:p w:rsidR="008D0EE2" w:rsidRPr="00780E64" w:rsidRDefault="00C3588E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</w:t>
            </w:r>
          </w:p>
        </w:tc>
        <w:tc>
          <w:tcPr>
            <w:tcW w:w="5502" w:type="dxa"/>
            <w:shd w:val="clear" w:color="auto" w:fill="auto"/>
          </w:tcPr>
          <w:p w:rsidR="008D0EE2" w:rsidRPr="00780E64" w:rsidRDefault="008D0EE2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Затраты (себестоимость, расходы периода)</w:t>
            </w:r>
          </w:p>
        </w:tc>
        <w:tc>
          <w:tcPr>
            <w:tcW w:w="1661" w:type="dxa"/>
            <w:shd w:val="clear" w:color="auto" w:fill="auto"/>
          </w:tcPr>
          <w:p w:rsidR="008D0EE2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8D0EE2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D0EE2" w:rsidRPr="00780E64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536D94" w:rsidRPr="00780E64" w:rsidRDefault="00536D94" w:rsidP="00536D94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19376,6</w:t>
            </w:r>
          </w:p>
        </w:tc>
      </w:tr>
      <w:tr w:rsidR="009530AE" w:rsidRPr="00780E64" w:rsidTr="00533E9D">
        <w:trPr>
          <w:trHeight w:val="19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780E64" w:rsidRDefault="00C3588E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</w:t>
            </w:r>
          </w:p>
        </w:tc>
        <w:tc>
          <w:tcPr>
            <w:tcW w:w="5502" w:type="dxa"/>
            <w:shd w:val="clear" w:color="auto" w:fill="auto"/>
          </w:tcPr>
          <w:p w:rsidR="009530AE" w:rsidRPr="00780E64" w:rsidRDefault="008D0EE2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Фин.</w:t>
            </w:r>
            <w:r w:rsidR="00F52153">
              <w:rPr>
                <w:sz w:val="22"/>
                <w:szCs w:val="22"/>
              </w:rPr>
              <w:t xml:space="preserve"> </w:t>
            </w:r>
            <w:r w:rsidRPr="00780E64">
              <w:rPr>
                <w:sz w:val="22"/>
                <w:szCs w:val="22"/>
              </w:rPr>
              <w:t>результат от основной деятельности</w:t>
            </w:r>
            <w:r w:rsidR="00B82B3E" w:rsidRPr="00780E64">
              <w:rPr>
                <w:sz w:val="22"/>
                <w:szCs w:val="22"/>
              </w:rPr>
              <w:t xml:space="preserve"> (по предв</w:t>
            </w:r>
            <w:r w:rsidR="004A68F7" w:rsidRPr="00780E64">
              <w:rPr>
                <w:sz w:val="22"/>
                <w:szCs w:val="22"/>
              </w:rPr>
              <w:t xml:space="preserve">арительным </w:t>
            </w:r>
            <w:r w:rsidR="00B82B3E" w:rsidRPr="00780E64">
              <w:rPr>
                <w:sz w:val="22"/>
                <w:szCs w:val="22"/>
              </w:rPr>
              <w:t>данным)</w:t>
            </w:r>
          </w:p>
        </w:tc>
        <w:tc>
          <w:tcPr>
            <w:tcW w:w="1661" w:type="dxa"/>
            <w:shd w:val="clear" w:color="auto" w:fill="auto"/>
          </w:tcPr>
          <w:p w:rsidR="009530AE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8D0EE2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D0EE2" w:rsidRPr="00780E64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</w:tcPr>
          <w:p w:rsidR="009530AE" w:rsidRPr="00780E64" w:rsidRDefault="002D51F7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6668,8</w:t>
            </w:r>
          </w:p>
        </w:tc>
      </w:tr>
      <w:tr w:rsidR="009530AE" w:rsidRPr="00780E64" w:rsidTr="00533E9D">
        <w:trPr>
          <w:trHeight w:val="176"/>
          <w:tblCellSpacing w:w="20" w:type="dxa"/>
        </w:trPr>
        <w:tc>
          <w:tcPr>
            <w:tcW w:w="635" w:type="dxa"/>
            <w:shd w:val="clear" w:color="auto" w:fill="auto"/>
          </w:tcPr>
          <w:p w:rsidR="009530AE" w:rsidRPr="00780E64" w:rsidRDefault="00C3588E" w:rsidP="006379F5">
            <w:pPr>
              <w:pStyle w:val="2"/>
              <w:spacing w:line="240" w:lineRule="auto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</w:t>
            </w:r>
          </w:p>
        </w:tc>
        <w:tc>
          <w:tcPr>
            <w:tcW w:w="5502" w:type="dxa"/>
            <w:shd w:val="clear" w:color="auto" w:fill="auto"/>
          </w:tcPr>
          <w:p w:rsidR="009530AE" w:rsidRPr="00780E64" w:rsidRDefault="008D0EE2" w:rsidP="006379F5">
            <w:pPr>
              <w:pStyle w:val="2"/>
              <w:spacing w:line="240" w:lineRule="auto"/>
              <w:jc w:val="left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Фин.</w:t>
            </w:r>
            <w:r w:rsidR="00F52153">
              <w:rPr>
                <w:sz w:val="22"/>
                <w:szCs w:val="22"/>
              </w:rPr>
              <w:t xml:space="preserve"> </w:t>
            </w:r>
            <w:r w:rsidRPr="00780E64">
              <w:rPr>
                <w:sz w:val="22"/>
                <w:szCs w:val="22"/>
              </w:rPr>
              <w:t>результат от реализации тепловой энергии</w:t>
            </w:r>
          </w:p>
        </w:tc>
        <w:tc>
          <w:tcPr>
            <w:tcW w:w="1661" w:type="dxa"/>
            <w:shd w:val="clear" w:color="auto" w:fill="auto"/>
            <w:vAlign w:val="center"/>
          </w:tcPr>
          <w:p w:rsidR="009530AE" w:rsidRPr="00780E64" w:rsidRDefault="00F52153" w:rsidP="00F52153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м</w:t>
            </w:r>
            <w:r w:rsidR="008D0EE2" w:rsidRPr="00780E64">
              <w:rPr>
                <w:sz w:val="22"/>
                <w:szCs w:val="22"/>
              </w:rPr>
              <w:t>лн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8D0EE2" w:rsidRPr="00780E64">
              <w:rPr>
                <w:sz w:val="22"/>
                <w:szCs w:val="22"/>
              </w:rPr>
              <w:t>тенге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9530AE" w:rsidRPr="00780E64" w:rsidRDefault="009E1B28" w:rsidP="006379F5">
            <w:pPr>
              <w:pStyle w:val="2"/>
              <w:spacing w:line="240" w:lineRule="auto"/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-1169,3</w:t>
            </w:r>
          </w:p>
        </w:tc>
      </w:tr>
    </w:tbl>
    <w:p w:rsidR="006771C8" w:rsidRPr="00780E64" w:rsidRDefault="006771C8" w:rsidP="007B475E">
      <w:pPr>
        <w:ind w:firstLine="567"/>
        <w:jc w:val="both"/>
        <w:rPr>
          <w:sz w:val="22"/>
          <w:szCs w:val="22"/>
        </w:rPr>
      </w:pPr>
    </w:p>
    <w:p w:rsidR="002A726C" w:rsidRPr="00780E64" w:rsidRDefault="00A63862" w:rsidP="007B475E">
      <w:pPr>
        <w:ind w:firstLine="567"/>
        <w:jc w:val="both"/>
        <w:rPr>
          <w:bCs/>
          <w:kern w:val="2"/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t>За 2016 год объем тепловой энергии, отпущенной с коллекторов</w:t>
      </w:r>
      <w:r w:rsidR="00F52153">
        <w:rPr>
          <w:bCs/>
          <w:kern w:val="2"/>
          <w:sz w:val="22"/>
          <w:szCs w:val="22"/>
        </w:rPr>
        <w:t>,</w:t>
      </w:r>
      <w:r w:rsidRPr="00780E64">
        <w:rPr>
          <w:bCs/>
          <w:kern w:val="2"/>
          <w:sz w:val="22"/>
          <w:szCs w:val="22"/>
        </w:rPr>
        <w:t xml:space="preserve"> составил 1 904,6 тыс. Гкал, что на 139,7 тыс.</w:t>
      </w:r>
      <w:r w:rsidR="00F52153">
        <w:rPr>
          <w:bCs/>
          <w:kern w:val="2"/>
          <w:sz w:val="22"/>
          <w:szCs w:val="22"/>
        </w:rPr>
        <w:t xml:space="preserve"> </w:t>
      </w:r>
      <w:r w:rsidRPr="00780E64">
        <w:rPr>
          <w:bCs/>
          <w:kern w:val="2"/>
          <w:sz w:val="22"/>
          <w:szCs w:val="22"/>
        </w:rPr>
        <w:t>Гкал или 7,9% выше</w:t>
      </w:r>
      <w:r w:rsidR="00F52153">
        <w:rPr>
          <w:bCs/>
          <w:kern w:val="2"/>
          <w:sz w:val="22"/>
          <w:szCs w:val="22"/>
        </w:rPr>
        <w:t xml:space="preserve"> объёма,</w:t>
      </w:r>
      <w:r w:rsidRPr="00780E64">
        <w:rPr>
          <w:bCs/>
          <w:kern w:val="2"/>
          <w:sz w:val="22"/>
          <w:szCs w:val="22"/>
        </w:rPr>
        <w:t xml:space="preserve"> утвержденного тарифной сметой. Объём электрической энергии</w:t>
      </w:r>
      <w:r w:rsidR="00F52153">
        <w:rPr>
          <w:bCs/>
          <w:kern w:val="2"/>
          <w:sz w:val="22"/>
          <w:szCs w:val="22"/>
        </w:rPr>
        <w:t>,</w:t>
      </w:r>
      <w:r w:rsidRPr="00780E64">
        <w:rPr>
          <w:bCs/>
          <w:kern w:val="2"/>
          <w:sz w:val="22"/>
          <w:szCs w:val="22"/>
        </w:rPr>
        <w:t xml:space="preserve"> отпущенно</w:t>
      </w:r>
      <w:r w:rsidR="00F52153">
        <w:rPr>
          <w:bCs/>
          <w:kern w:val="2"/>
          <w:sz w:val="22"/>
          <w:szCs w:val="22"/>
        </w:rPr>
        <w:t xml:space="preserve">й с шин, составил 2 835,678 </w:t>
      </w:r>
      <w:proofErr w:type="gramStart"/>
      <w:r w:rsidR="00F52153">
        <w:rPr>
          <w:bCs/>
          <w:kern w:val="2"/>
          <w:sz w:val="22"/>
          <w:szCs w:val="22"/>
        </w:rPr>
        <w:t>млн</w:t>
      </w:r>
      <w:proofErr w:type="gramEnd"/>
      <w:r w:rsidRPr="00780E64">
        <w:rPr>
          <w:bCs/>
          <w:kern w:val="2"/>
          <w:sz w:val="22"/>
          <w:szCs w:val="22"/>
        </w:rPr>
        <w:t xml:space="preserve"> кВт</w:t>
      </w:r>
      <w:r w:rsidR="00F52153">
        <w:rPr>
          <w:sz w:val="22"/>
          <w:szCs w:val="22"/>
        </w:rPr>
        <w:sym w:font="Symbol" w:char="F0D7"/>
      </w:r>
      <w:r w:rsidRPr="00780E64">
        <w:rPr>
          <w:bCs/>
          <w:kern w:val="2"/>
          <w:sz w:val="22"/>
          <w:szCs w:val="22"/>
        </w:rPr>
        <w:t>ч. Качество отпускаемой тепловой энергии соответствует утвержденному температурному графику.</w:t>
      </w:r>
    </w:p>
    <w:p w:rsidR="00A63862" w:rsidRPr="00780E64" w:rsidRDefault="00A63862" w:rsidP="00A63862">
      <w:pPr>
        <w:ind w:firstLine="567"/>
        <w:jc w:val="both"/>
        <w:rPr>
          <w:bCs/>
          <w:kern w:val="2"/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lastRenderedPageBreak/>
        <w:t>В целях совершенствования производственных процессов в АО «СЕВКАЗЭНЕРГО» ведется реализация инвестиционной программы в рамках утвержденной тарифной сметы, которой предусмотрен ряд крупномасштабных мероприятий по модернизации оборудования, направленных на повышение генерации, снижение потерь при передаче тепло</w:t>
      </w:r>
      <w:r w:rsidR="00F52153">
        <w:rPr>
          <w:bCs/>
          <w:kern w:val="2"/>
          <w:sz w:val="22"/>
          <w:szCs w:val="22"/>
        </w:rPr>
        <w:t>-</w:t>
      </w:r>
      <w:r w:rsidRPr="00780E64">
        <w:rPr>
          <w:bCs/>
          <w:kern w:val="2"/>
          <w:sz w:val="22"/>
          <w:szCs w:val="22"/>
        </w:rPr>
        <w:t xml:space="preserve"> и электроэнергии, в том числе совершенствование экологических параметров деятельности предприятия. Объём инвестиций согласно графику капитальных вложений</w:t>
      </w:r>
      <w:r w:rsidR="00F52153">
        <w:rPr>
          <w:bCs/>
          <w:kern w:val="2"/>
          <w:sz w:val="22"/>
          <w:szCs w:val="22"/>
        </w:rPr>
        <w:t xml:space="preserve"> на 2016 год составил 667,9 </w:t>
      </w:r>
      <w:proofErr w:type="gramStart"/>
      <w:r w:rsidR="00F52153">
        <w:rPr>
          <w:bCs/>
          <w:kern w:val="2"/>
          <w:sz w:val="22"/>
          <w:szCs w:val="22"/>
        </w:rPr>
        <w:t>млн</w:t>
      </w:r>
      <w:proofErr w:type="gramEnd"/>
      <w:r w:rsidRPr="00780E64">
        <w:rPr>
          <w:bCs/>
          <w:kern w:val="2"/>
          <w:sz w:val="22"/>
          <w:szCs w:val="22"/>
        </w:rPr>
        <w:t xml:space="preserve"> тенге. Фактическое исполнение по итогам года составило 539 </w:t>
      </w:r>
      <w:proofErr w:type="gramStart"/>
      <w:r w:rsidRPr="00780E64">
        <w:rPr>
          <w:bCs/>
          <w:kern w:val="2"/>
          <w:sz w:val="22"/>
          <w:szCs w:val="22"/>
        </w:rPr>
        <w:t>млн</w:t>
      </w:r>
      <w:proofErr w:type="gramEnd"/>
      <w:r w:rsidRPr="00780E64">
        <w:rPr>
          <w:bCs/>
          <w:kern w:val="2"/>
          <w:sz w:val="22"/>
          <w:szCs w:val="22"/>
        </w:rPr>
        <w:t xml:space="preserve"> тенге, в результате чего были реализованы следующие мероприятия:</w:t>
      </w:r>
    </w:p>
    <w:p w:rsidR="00A63862" w:rsidRPr="00780E64" w:rsidRDefault="00F52153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</w:t>
      </w:r>
      <w:r w:rsidR="00A63862" w:rsidRPr="00780E64">
        <w:rPr>
          <w:bCs/>
          <w:kern w:val="2"/>
          <w:sz w:val="22"/>
          <w:szCs w:val="22"/>
        </w:rPr>
        <w:t>реконструкция схемы выдачи тепловой мощности</w:t>
      </w:r>
      <w:r>
        <w:rPr>
          <w:bCs/>
          <w:kern w:val="2"/>
          <w:sz w:val="22"/>
          <w:szCs w:val="22"/>
        </w:rPr>
        <w:t xml:space="preserve"> </w:t>
      </w:r>
      <w:r w:rsidR="00A63862" w:rsidRPr="00780E64">
        <w:rPr>
          <w:bCs/>
          <w:kern w:val="2"/>
          <w:sz w:val="22"/>
          <w:szCs w:val="22"/>
        </w:rPr>
        <w:t xml:space="preserve">– 452 </w:t>
      </w:r>
      <w:proofErr w:type="gramStart"/>
      <w:r w:rsidR="00A63862" w:rsidRPr="00780E64">
        <w:rPr>
          <w:bCs/>
          <w:kern w:val="2"/>
          <w:sz w:val="22"/>
          <w:szCs w:val="22"/>
        </w:rPr>
        <w:t>млн</w:t>
      </w:r>
      <w:proofErr w:type="gramEnd"/>
      <w:r w:rsidR="00A63862" w:rsidRPr="00780E64">
        <w:rPr>
          <w:bCs/>
          <w:kern w:val="2"/>
          <w:sz w:val="22"/>
          <w:szCs w:val="22"/>
        </w:rPr>
        <w:t xml:space="preserve"> тенге;</w:t>
      </w:r>
    </w:p>
    <w:p w:rsidR="00A63862" w:rsidRPr="00780E64" w:rsidRDefault="00F52153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</w:t>
      </w:r>
      <w:r w:rsidR="00A63862" w:rsidRPr="00780E64">
        <w:rPr>
          <w:bCs/>
          <w:kern w:val="2"/>
          <w:sz w:val="22"/>
          <w:szCs w:val="22"/>
        </w:rPr>
        <w:t xml:space="preserve">реконструкция зданий и сооружений – 33,9 </w:t>
      </w:r>
      <w:proofErr w:type="gramStart"/>
      <w:r w:rsidR="00A63862" w:rsidRPr="00780E64">
        <w:rPr>
          <w:bCs/>
          <w:kern w:val="2"/>
          <w:sz w:val="22"/>
          <w:szCs w:val="22"/>
        </w:rPr>
        <w:t>млн</w:t>
      </w:r>
      <w:proofErr w:type="gramEnd"/>
      <w:r w:rsidR="00A63862" w:rsidRPr="00780E64">
        <w:rPr>
          <w:bCs/>
          <w:kern w:val="2"/>
          <w:sz w:val="22"/>
          <w:szCs w:val="22"/>
        </w:rPr>
        <w:t xml:space="preserve"> тенге;</w:t>
      </w:r>
    </w:p>
    <w:p w:rsidR="00A63862" w:rsidRPr="00780E64" w:rsidRDefault="00F52153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</w:t>
      </w:r>
      <w:r w:rsidR="00A63862" w:rsidRPr="00780E64">
        <w:rPr>
          <w:bCs/>
          <w:kern w:val="2"/>
          <w:sz w:val="22"/>
          <w:szCs w:val="22"/>
        </w:rPr>
        <w:t xml:space="preserve">энергосберегающие мероприятия – 16,8 </w:t>
      </w:r>
      <w:proofErr w:type="gramStart"/>
      <w:r w:rsidR="00A63862" w:rsidRPr="00780E64">
        <w:rPr>
          <w:bCs/>
          <w:kern w:val="2"/>
          <w:sz w:val="22"/>
          <w:szCs w:val="22"/>
        </w:rPr>
        <w:t>млн</w:t>
      </w:r>
      <w:proofErr w:type="gramEnd"/>
      <w:r w:rsidR="00A63862" w:rsidRPr="00780E64">
        <w:rPr>
          <w:bCs/>
          <w:kern w:val="2"/>
          <w:sz w:val="22"/>
          <w:szCs w:val="22"/>
        </w:rPr>
        <w:t xml:space="preserve"> тенге;</w:t>
      </w:r>
    </w:p>
    <w:p w:rsidR="00A63862" w:rsidRPr="00780E64" w:rsidRDefault="00F52153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</w:t>
      </w:r>
      <w:r w:rsidR="00A63862" w:rsidRPr="00780E64">
        <w:rPr>
          <w:bCs/>
          <w:kern w:val="2"/>
          <w:sz w:val="22"/>
          <w:szCs w:val="22"/>
        </w:rPr>
        <w:t xml:space="preserve">приобретение основных средств – 36,3 </w:t>
      </w:r>
      <w:proofErr w:type="gramStart"/>
      <w:r w:rsidR="00A63862" w:rsidRPr="00780E64">
        <w:rPr>
          <w:bCs/>
          <w:kern w:val="2"/>
          <w:sz w:val="22"/>
          <w:szCs w:val="22"/>
        </w:rPr>
        <w:t>млн</w:t>
      </w:r>
      <w:proofErr w:type="gramEnd"/>
      <w:r>
        <w:rPr>
          <w:bCs/>
          <w:kern w:val="2"/>
          <w:sz w:val="22"/>
          <w:szCs w:val="22"/>
        </w:rPr>
        <w:t xml:space="preserve"> тенге.</w:t>
      </w:r>
    </w:p>
    <w:p w:rsidR="00A63862" w:rsidRPr="00780E64" w:rsidRDefault="00A63862" w:rsidP="00A63862">
      <w:pPr>
        <w:ind w:firstLine="567"/>
        <w:jc w:val="both"/>
        <w:rPr>
          <w:bCs/>
          <w:kern w:val="2"/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t>Данные мероприятий осуществлялись только за счет амортизационных отчислений</w:t>
      </w:r>
      <w:r w:rsidR="00F52153">
        <w:rPr>
          <w:bCs/>
          <w:kern w:val="2"/>
          <w:sz w:val="22"/>
          <w:szCs w:val="22"/>
        </w:rPr>
        <w:t>,</w:t>
      </w:r>
      <w:r w:rsidRPr="00780E64">
        <w:rPr>
          <w:bCs/>
          <w:kern w:val="2"/>
          <w:sz w:val="22"/>
          <w:szCs w:val="22"/>
        </w:rPr>
        <w:t xml:space="preserve"> предусмотренных тарифной сметой, так как предприятием от реализации услуг по снабжению тепловой энергией получен убыток.</w:t>
      </w:r>
    </w:p>
    <w:p w:rsidR="00A63862" w:rsidRPr="00780E64" w:rsidRDefault="00A63862" w:rsidP="00A63862">
      <w:pPr>
        <w:ind w:firstLine="567"/>
        <w:jc w:val="both"/>
        <w:rPr>
          <w:bCs/>
          <w:kern w:val="2"/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t xml:space="preserve">Помимо капитальных вложений на предприятии ведется ремонтная </w:t>
      </w:r>
      <w:r w:rsidR="00F0376D" w:rsidRPr="00780E64">
        <w:rPr>
          <w:bCs/>
          <w:kern w:val="2"/>
          <w:sz w:val="22"/>
          <w:szCs w:val="22"/>
        </w:rPr>
        <w:t>кампания,</w:t>
      </w:r>
      <w:r w:rsidRPr="00780E64">
        <w:rPr>
          <w:bCs/>
          <w:kern w:val="2"/>
          <w:sz w:val="22"/>
          <w:szCs w:val="22"/>
        </w:rPr>
        <w:t xml:space="preserve"> согласованная с уполномоченны</w:t>
      </w:r>
      <w:r w:rsidR="00F52153">
        <w:rPr>
          <w:bCs/>
          <w:kern w:val="2"/>
          <w:sz w:val="22"/>
          <w:szCs w:val="22"/>
        </w:rPr>
        <w:t xml:space="preserve">м органом в размере 1 322,5 </w:t>
      </w:r>
      <w:proofErr w:type="gramStart"/>
      <w:r w:rsidR="00F52153">
        <w:rPr>
          <w:bCs/>
          <w:kern w:val="2"/>
          <w:sz w:val="22"/>
          <w:szCs w:val="22"/>
        </w:rPr>
        <w:t>млн</w:t>
      </w:r>
      <w:proofErr w:type="gramEnd"/>
      <w:r w:rsidRPr="00780E64">
        <w:rPr>
          <w:bCs/>
          <w:kern w:val="2"/>
          <w:sz w:val="22"/>
          <w:szCs w:val="22"/>
        </w:rPr>
        <w:t xml:space="preserve"> тенге. Фактические затраты на проведение ремонт</w:t>
      </w:r>
      <w:r w:rsidR="00F52153">
        <w:rPr>
          <w:bCs/>
          <w:kern w:val="2"/>
          <w:sz w:val="22"/>
          <w:szCs w:val="22"/>
        </w:rPr>
        <w:t xml:space="preserve">ной кампании составили 1355 </w:t>
      </w:r>
      <w:proofErr w:type="gramStart"/>
      <w:r w:rsidR="00F52153">
        <w:rPr>
          <w:bCs/>
          <w:kern w:val="2"/>
          <w:sz w:val="22"/>
          <w:szCs w:val="22"/>
        </w:rPr>
        <w:t>млн</w:t>
      </w:r>
      <w:proofErr w:type="gramEnd"/>
      <w:r w:rsidRPr="00780E64">
        <w:rPr>
          <w:bCs/>
          <w:kern w:val="2"/>
          <w:sz w:val="22"/>
          <w:szCs w:val="22"/>
        </w:rPr>
        <w:t xml:space="preserve"> тенге (102,5%). Объем ремонтных работ в физических единицах выполнен в полном объеме и составляет 100%, основными мероприятиями из которых являются:</w:t>
      </w:r>
    </w:p>
    <w:p w:rsidR="00A63862" w:rsidRPr="00780E64" w:rsidRDefault="00F8514C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текущий ремонт </w:t>
      </w:r>
      <w:proofErr w:type="spellStart"/>
      <w:r>
        <w:rPr>
          <w:bCs/>
          <w:kern w:val="2"/>
          <w:sz w:val="22"/>
          <w:szCs w:val="22"/>
        </w:rPr>
        <w:t>котлоагрегатов</w:t>
      </w:r>
      <w:proofErr w:type="spellEnd"/>
      <w:r w:rsidR="00A63862" w:rsidRPr="00780E64">
        <w:rPr>
          <w:bCs/>
          <w:kern w:val="2"/>
          <w:sz w:val="22"/>
          <w:szCs w:val="22"/>
        </w:rPr>
        <w:t xml:space="preserve"> № 1, 2, 4, 5, 6, 8, 10, 11;</w:t>
      </w:r>
    </w:p>
    <w:p w:rsidR="00A63862" w:rsidRPr="00780E64" w:rsidRDefault="00F8514C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- текущий ремонт турбоагрегатов</w:t>
      </w:r>
      <w:r w:rsidR="00A63862" w:rsidRPr="00780E64">
        <w:rPr>
          <w:bCs/>
          <w:kern w:val="2"/>
          <w:sz w:val="22"/>
          <w:szCs w:val="22"/>
        </w:rPr>
        <w:t xml:space="preserve"> № 1, 2, 3, 4, 7;</w:t>
      </w:r>
    </w:p>
    <w:p w:rsidR="00A63862" w:rsidRPr="00780E64" w:rsidRDefault="00F8514C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 xml:space="preserve">- капитальный ремонт </w:t>
      </w:r>
      <w:proofErr w:type="spellStart"/>
      <w:r>
        <w:rPr>
          <w:bCs/>
          <w:kern w:val="2"/>
          <w:sz w:val="22"/>
          <w:szCs w:val="22"/>
        </w:rPr>
        <w:t>котлоагрегатов</w:t>
      </w:r>
      <w:proofErr w:type="spellEnd"/>
      <w:r w:rsidR="00A63862" w:rsidRPr="00780E64">
        <w:rPr>
          <w:bCs/>
          <w:kern w:val="2"/>
          <w:sz w:val="22"/>
          <w:szCs w:val="22"/>
        </w:rPr>
        <w:t xml:space="preserve"> № 3, 7, 9;</w:t>
      </w:r>
    </w:p>
    <w:p w:rsidR="00A63862" w:rsidRPr="00780E64" w:rsidRDefault="00F8514C" w:rsidP="00A63862">
      <w:pPr>
        <w:ind w:firstLine="567"/>
        <w:jc w:val="both"/>
        <w:rPr>
          <w:bCs/>
          <w:kern w:val="2"/>
          <w:sz w:val="22"/>
          <w:szCs w:val="22"/>
        </w:rPr>
      </w:pPr>
      <w:r>
        <w:rPr>
          <w:bCs/>
          <w:kern w:val="2"/>
          <w:sz w:val="22"/>
          <w:szCs w:val="22"/>
        </w:rPr>
        <w:t>- капитальный ремонт турбоагрегата</w:t>
      </w:r>
      <w:r w:rsidR="00A63862" w:rsidRPr="00780E64">
        <w:rPr>
          <w:bCs/>
          <w:kern w:val="2"/>
          <w:sz w:val="22"/>
          <w:szCs w:val="22"/>
        </w:rPr>
        <w:t xml:space="preserve"> № 6.</w:t>
      </w:r>
    </w:p>
    <w:p w:rsidR="00A63862" w:rsidRPr="00780E64" w:rsidRDefault="00A63862" w:rsidP="00A63862">
      <w:pPr>
        <w:ind w:firstLine="567"/>
        <w:jc w:val="both"/>
        <w:rPr>
          <w:bCs/>
          <w:kern w:val="2"/>
          <w:sz w:val="22"/>
          <w:szCs w:val="22"/>
        </w:rPr>
      </w:pPr>
      <w:r w:rsidRPr="00780E64">
        <w:rPr>
          <w:bCs/>
          <w:kern w:val="2"/>
          <w:sz w:val="22"/>
          <w:szCs w:val="22"/>
        </w:rPr>
        <w:t>Кроме средств, предусмотренных тарифной сметой по тепловой энергии, на реконструкцию и модернизацию основного оборудования направлены средства</w:t>
      </w:r>
      <w:r w:rsidR="00F0376D">
        <w:rPr>
          <w:bCs/>
          <w:kern w:val="2"/>
          <w:sz w:val="22"/>
          <w:szCs w:val="22"/>
        </w:rPr>
        <w:t>,</w:t>
      </w:r>
      <w:r w:rsidRPr="00780E64">
        <w:rPr>
          <w:bCs/>
          <w:kern w:val="2"/>
          <w:sz w:val="22"/>
          <w:szCs w:val="22"/>
        </w:rPr>
        <w:t xml:space="preserve"> предусмотренные инвестиционной программой по электроэнергии.</w:t>
      </w:r>
    </w:p>
    <w:p w:rsidR="00EC30FF" w:rsidRPr="00780E64" w:rsidRDefault="00EC30FF" w:rsidP="00A63862">
      <w:pPr>
        <w:ind w:firstLine="567"/>
        <w:jc w:val="both"/>
        <w:rPr>
          <w:bCs/>
          <w:kern w:val="2"/>
          <w:sz w:val="22"/>
          <w:szCs w:val="22"/>
        </w:rPr>
      </w:pPr>
    </w:p>
    <w:p w:rsidR="00D30B49" w:rsidRPr="00780E64" w:rsidRDefault="001516E5" w:rsidP="001516E5">
      <w:pPr>
        <w:ind w:firstLine="567"/>
        <w:jc w:val="both"/>
        <w:rPr>
          <w:noProof/>
          <w:sz w:val="22"/>
          <w:szCs w:val="22"/>
        </w:rPr>
      </w:pPr>
      <w:r w:rsidRPr="00780E64">
        <w:rPr>
          <w:noProof/>
          <w:sz w:val="22"/>
          <w:szCs w:val="22"/>
        </w:rPr>
        <w:drawing>
          <wp:inline distT="0" distB="0" distL="0" distR="0" wp14:anchorId="577EA58D" wp14:editId="30A1F488">
            <wp:extent cx="5899868" cy="250466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C30FF" w:rsidRPr="00780E64" w:rsidRDefault="00EC30FF" w:rsidP="007B475E">
      <w:pPr>
        <w:ind w:firstLine="567"/>
        <w:jc w:val="both"/>
        <w:rPr>
          <w:kern w:val="2"/>
          <w:sz w:val="22"/>
          <w:szCs w:val="22"/>
        </w:rPr>
      </w:pPr>
    </w:p>
    <w:p w:rsidR="008F74C5" w:rsidRPr="00780E64" w:rsidRDefault="00A17CA7" w:rsidP="007B475E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Затраты</w:t>
      </w:r>
      <w:r w:rsidR="00F8514C"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п</w:t>
      </w:r>
      <w:r w:rsidR="001516E5" w:rsidRPr="00780E64">
        <w:rPr>
          <w:kern w:val="2"/>
          <w:sz w:val="22"/>
          <w:szCs w:val="22"/>
        </w:rPr>
        <w:t>редусмотренн</w:t>
      </w:r>
      <w:r>
        <w:rPr>
          <w:kern w:val="2"/>
          <w:sz w:val="22"/>
          <w:szCs w:val="22"/>
        </w:rPr>
        <w:t>ые</w:t>
      </w:r>
      <w:r w:rsidR="001516E5" w:rsidRPr="00780E64">
        <w:rPr>
          <w:kern w:val="2"/>
          <w:sz w:val="22"/>
          <w:szCs w:val="22"/>
        </w:rPr>
        <w:t xml:space="preserve"> тарифной сметой на производство тепловой энергии</w:t>
      </w:r>
      <w:r w:rsidR="00F8514C">
        <w:rPr>
          <w:kern w:val="2"/>
          <w:sz w:val="22"/>
          <w:szCs w:val="22"/>
        </w:rPr>
        <w:t>,</w:t>
      </w:r>
      <w:r>
        <w:rPr>
          <w:kern w:val="2"/>
          <w:sz w:val="22"/>
          <w:szCs w:val="22"/>
        </w:rPr>
        <w:t xml:space="preserve"> в 2016 году составляют</w:t>
      </w:r>
      <w:r w:rsidR="001516E5" w:rsidRPr="00780E64">
        <w:rPr>
          <w:kern w:val="2"/>
          <w:sz w:val="22"/>
          <w:szCs w:val="22"/>
        </w:rPr>
        <w:t xml:space="preserve"> </w:t>
      </w:r>
      <w:r w:rsidR="00FA0566" w:rsidRPr="00780E64">
        <w:rPr>
          <w:kern w:val="2"/>
          <w:sz w:val="22"/>
          <w:szCs w:val="22"/>
        </w:rPr>
        <w:t xml:space="preserve">3 008,9 </w:t>
      </w:r>
      <w:proofErr w:type="gramStart"/>
      <w:r w:rsidR="00FA0566" w:rsidRPr="00780E64">
        <w:rPr>
          <w:kern w:val="2"/>
          <w:sz w:val="22"/>
          <w:szCs w:val="22"/>
        </w:rPr>
        <w:t>млн</w:t>
      </w:r>
      <w:proofErr w:type="gramEnd"/>
      <w:r w:rsidR="00F8514C">
        <w:rPr>
          <w:kern w:val="2"/>
          <w:sz w:val="22"/>
          <w:szCs w:val="22"/>
        </w:rPr>
        <w:t xml:space="preserve"> тенге</w:t>
      </w:r>
      <w:r w:rsidR="00C40410">
        <w:rPr>
          <w:kern w:val="2"/>
          <w:sz w:val="22"/>
          <w:szCs w:val="22"/>
        </w:rPr>
        <w:t>,</w:t>
      </w:r>
      <w:r w:rsidR="000B193F" w:rsidRPr="00780E64">
        <w:rPr>
          <w:kern w:val="2"/>
          <w:sz w:val="22"/>
          <w:szCs w:val="22"/>
        </w:rPr>
        <w:t xml:space="preserve"> </w:t>
      </w:r>
      <w:r w:rsidR="00C40410">
        <w:rPr>
          <w:kern w:val="2"/>
          <w:sz w:val="22"/>
          <w:szCs w:val="22"/>
        </w:rPr>
        <w:t xml:space="preserve">фактические предварительные </w:t>
      </w:r>
      <w:r w:rsidR="001516E5" w:rsidRPr="00780E64">
        <w:rPr>
          <w:kern w:val="2"/>
          <w:sz w:val="22"/>
          <w:szCs w:val="22"/>
        </w:rPr>
        <w:t xml:space="preserve">затраты </w:t>
      </w:r>
      <w:r w:rsidR="00C40410">
        <w:rPr>
          <w:kern w:val="2"/>
          <w:sz w:val="22"/>
          <w:szCs w:val="22"/>
        </w:rPr>
        <w:t xml:space="preserve">(до финального аудита) </w:t>
      </w:r>
      <w:r w:rsidR="001516E5" w:rsidRPr="00780E64">
        <w:rPr>
          <w:kern w:val="2"/>
          <w:sz w:val="22"/>
          <w:szCs w:val="22"/>
        </w:rPr>
        <w:t>составил</w:t>
      </w:r>
      <w:r w:rsidR="00C40410">
        <w:rPr>
          <w:kern w:val="2"/>
          <w:sz w:val="22"/>
          <w:szCs w:val="22"/>
        </w:rPr>
        <w:t xml:space="preserve">и </w:t>
      </w:r>
      <w:r w:rsidR="00F0376D">
        <w:rPr>
          <w:kern w:val="2"/>
          <w:sz w:val="22"/>
          <w:szCs w:val="22"/>
        </w:rPr>
        <w:t>3 554,7</w:t>
      </w:r>
      <w:r w:rsidR="00C40410">
        <w:rPr>
          <w:kern w:val="2"/>
          <w:sz w:val="22"/>
          <w:szCs w:val="22"/>
        </w:rPr>
        <w:t xml:space="preserve"> млн тенге, что выше </w:t>
      </w:r>
      <w:r w:rsidR="001516E5" w:rsidRPr="00780E64">
        <w:rPr>
          <w:kern w:val="2"/>
          <w:sz w:val="22"/>
          <w:szCs w:val="22"/>
        </w:rPr>
        <w:t xml:space="preserve">принятых в действующем тарифе на </w:t>
      </w:r>
      <w:r w:rsidR="00F0376D">
        <w:rPr>
          <w:kern w:val="2"/>
          <w:sz w:val="22"/>
          <w:szCs w:val="22"/>
        </w:rPr>
        <w:t>545,8</w:t>
      </w:r>
      <w:r w:rsidR="001516E5" w:rsidRPr="00780E64">
        <w:rPr>
          <w:kern w:val="2"/>
          <w:sz w:val="22"/>
          <w:szCs w:val="22"/>
        </w:rPr>
        <w:t xml:space="preserve"> млн тенге.</w:t>
      </w:r>
    </w:p>
    <w:p w:rsidR="006771C8" w:rsidRPr="00780E64" w:rsidRDefault="006771C8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EC30FF" w:rsidRPr="00780E64" w:rsidRDefault="00EC30FF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9172B3" w:rsidRPr="00780E64" w:rsidRDefault="009172B3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p w:rsidR="009172B3" w:rsidRPr="00780E64" w:rsidRDefault="009172B3">
      <w:pPr>
        <w:rPr>
          <w:b/>
          <w:bCs/>
          <w:kern w:val="2"/>
          <w:sz w:val="22"/>
          <w:szCs w:val="22"/>
        </w:rPr>
      </w:pPr>
      <w:r w:rsidRPr="00780E64">
        <w:rPr>
          <w:b/>
          <w:bCs/>
          <w:kern w:val="2"/>
          <w:sz w:val="22"/>
          <w:szCs w:val="22"/>
        </w:rPr>
        <w:br w:type="page"/>
      </w:r>
    </w:p>
    <w:p w:rsidR="007C336C" w:rsidRPr="00780E64" w:rsidRDefault="007C336C" w:rsidP="006771C8">
      <w:pPr>
        <w:ind w:firstLine="567"/>
        <w:jc w:val="both"/>
        <w:rPr>
          <w:b/>
          <w:bCs/>
          <w:kern w:val="2"/>
          <w:sz w:val="22"/>
          <w:szCs w:val="22"/>
        </w:rPr>
        <w:sectPr w:rsidR="007C336C" w:rsidRPr="00780E64" w:rsidSect="007C336C">
          <w:pgSz w:w="11906" w:h="16838" w:code="9"/>
          <w:pgMar w:top="851" w:right="567" w:bottom="567" w:left="1134" w:header="709" w:footer="709" w:gutter="0"/>
          <w:cols w:space="708"/>
          <w:docGrid w:linePitch="360"/>
        </w:sectPr>
      </w:pPr>
    </w:p>
    <w:p w:rsidR="006771C8" w:rsidRPr="00780E64" w:rsidRDefault="00116FDE" w:rsidP="00116FDE">
      <w:pPr>
        <w:ind w:firstLine="567"/>
        <w:jc w:val="center"/>
        <w:rPr>
          <w:b/>
          <w:bCs/>
          <w:kern w:val="2"/>
          <w:sz w:val="22"/>
          <w:szCs w:val="22"/>
        </w:rPr>
      </w:pPr>
      <w:r w:rsidRPr="00780E64">
        <w:rPr>
          <w:b/>
          <w:bCs/>
          <w:kern w:val="2"/>
          <w:sz w:val="22"/>
          <w:szCs w:val="22"/>
        </w:rPr>
        <w:lastRenderedPageBreak/>
        <w:t>Исполнение утвержденной тарифной сметы</w:t>
      </w:r>
      <w:r w:rsidR="006771C8" w:rsidRPr="00780E64">
        <w:rPr>
          <w:b/>
          <w:bCs/>
          <w:kern w:val="2"/>
          <w:sz w:val="22"/>
          <w:szCs w:val="22"/>
        </w:rPr>
        <w:t xml:space="preserve"> по предварительным данным 201</w:t>
      </w:r>
      <w:r w:rsidR="001F1C52" w:rsidRPr="00780E64">
        <w:rPr>
          <w:b/>
          <w:bCs/>
          <w:kern w:val="2"/>
          <w:sz w:val="22"/>
          <w:szCs w:val="22"/>
        </w:rPr>
        <w:t>6</w:t>
      </w:r>
      <w:r w:rsidR="006771C8" w:rsidRPr="00780E64">
        <w:rPr>
          <w:b/>
          <w:bCs/>
          <w:kern w:val="2"/>
          <w:sz w:val="22"/>
          <w:szCs w:val="22"/>
        </w:rPr>
        <w:t xml:space="preserve"> года</w:t>
      </w:r>
    </w:p>
    <w:p w:rsidR="002D51F7" w:rsidRPr="00780E64" w:rsidRDefault="002D51F7" w:rsidP="006771C8">
      <w:pPr>
        <w:ind w:firstLine="567"/>
        <w:jc w:val="both"/>
        <w:rPr>
          <w:b/>
          <w:bCs/>
          <w:kern w:val="2"/>
          <w:sz w:val="22"/>
          <w:szCs w:val="22"/>
        </w:rPr>
      </w:pPr>
    </w:p>
    <w:tbl>
      <w:tblPr>
        <w:tblW w:w="15745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861"/>
        <w:gridCol w:w="4394"/>
        <w:gridCol w:w="992"/>
        <w:gridCol w:w="1560"/>
        <w:gridCol w:w="1418"/>
        <w:gridCol w:w="1001"/>
        <w:gridCol w:w="5519"/>
      </w:tblGrid>
      <w:tr w:rsidR="007C336C" w:rsidRPr="00780E64" w:rsidTr="00116FDE">
        <w:trPr>
          <w:trHeight w:val="192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№ </w:t>
            </w:r>
            <w:proofErr w:type="gramStart"/>
            <w:r w:rsidRPr="00780E64">
              <w:rPr>
                <w:sz w:val="22"/>
                <w:szCs w:val="22"/>
              </w:rPr>
              <w:t>п</w:t>
            </w:r>
            <w:proofErr w:type="gramEnd"/>
            <w:r w:rsidRPr="00780E64">
              <w:rPr>
                <w:sz w:val="22"/>
                <w:szCs w:val="22"/>
              </w:rPr>
              <w:t>/п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Ед. измерения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 w:rsidP="00EC30FF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Предусмотрено </w:t>
            </w:r>
            <w:r w:rsidRPr="00780E64">
              <w:rPr>
                <w:sz w:val="22"/>
                <w:szCs w:val="22"/>
              </w:rPr>
              <w:br/>
              <w:t>в утвержденной тарифной смете на 2016г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 w:rsidP="00EC30FF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Фактически сложившиеся показатели тарифной сметы 2016г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Отклонение, %</w:t>
            </w:r>
          </w:p>
        </w:tc>
        <w:tc>
          <w:tcPr>
            <w:tcW w:w="55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C336C" w:rsidRPr="00780E64" w:rsidRDefault="007C336C" w:rsidP="00116FDE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Причины отклонения</w:t>
            </w:r>
          </w:p>
        </w:tc>
      </w:tr>
      <w:tr w:rsidR="007C336C" w:rsidRPr="00780E64" w:rsidTr="00C40410">
        <w:trPr>
          <w:trHeight w:val="7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C40410" w:rsidRDefault="007C336C">
            <w:pPr>
              <w:jc w:val="center"/>
              <w:rPr>
                <w:sz w:val="22"/>
                <w:szCs w:val="22"/>
              </w:rPr>
            </w:pPr>
            <w:r w:rsidRPr="00C40410">
              <w:rPr>
                <w:sz w:val="22"/>
                <w:szCs w:val="22"/>
              </w:rPr>
              <w:t>5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</w:t>
            </w:r>
          </w:p>
        </w:tc>
      </w:tr>
      <w:tr w:rsidR="007C336C" w:rsidRPr="00780E64" w:rsidTr="00C40410">
        <w:trPr>
          <w:trHeight w:val="50"/>
        </w:trPr>
        <w:tc>
          <w:tcPr>
            <w:tcW w:w="86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Затраты на производство товаров и предоставление услуг (работ) -</w:t>
            </w:r>
            <w:r w:rsidR="00F8514C">
              <w:rPr>
                <w:b/>
                <w:bCs/>
                <w:sz w:val="22"/>
                <w:szCs w:val="22"/>
              </w:rPr>
              <w:t xml:space="preserve"> </w:t>
            </w:r>
            <w:r w:rsidRPr="00780E64">
              <w:rPr>
                <w:b/>
                <w:bCs/>
                <w:sz w:val="22"/>
                <w:szCs w:val="22"/>
              </w:rPr>
              <w:t xml:space="preserve">всего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 w:rsidP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2 867 308,8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7C336C" w:rsidRPr="00C40410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3 312 041</w:t>
            </w:r>
          </w:p>
        </w:tc>
        <w:tc>
          <w:tcPr>
            <w:tcW w:w="100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15,5</w:t>
            </w:r>
          </w:p>
        </w:tc>
        <w:tc>
          <w:tcPr>
            <w:tcW w:w="5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137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Материальные затраты, всего, в т.</w:t>
            </w:r>
            <w:r w:rsidR="00F8514C">
              <w:rPr>
                <w:b/>
                <w:bCs/>
                <w:sz w:val="22"/>
                <w:szCs w:val="22"/>
              </w:rPr>
              <w:t xml:space="preserve"> </w:t>
            </w:r>
            <w:r w:rsidRPr="00780E64"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1 902 380,6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C40410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10">
              <w:rPr>
                <w:b/>
                <w:bCs/>
                <w:sz w:val="22"/>
                <w:szCs w:val="22"/>
              </w:rPr>
              <w:t>2 126 277,4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11,8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C40410" w:rsidRDefault="007C336C">
            <w:pPr>
              <w:jc w:val="center"/>
              <w:rPr>
                <w:sz w:val="22"/>
                <w:szCs w:val="22"/>
              </w:rPr>
            </w:pPr>
            <w:r w:rsidRPr="00C40410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Сырье и материалы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25 087,4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28 489,9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13,6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роста объёма оказываемых услуг и увеличения стоимости приобретаемых материалов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ГСМ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9 001,0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15 815,6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75,7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потребности в ГСМ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Топливо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1 867 281,5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2 072 661,3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780E64">
              <w:rPr>
                <w:kern w:val="2"/>
                <w:sz w:val="22"/>
                <w:szCs w:val="22"/>
              </w:rPr>
              <w:t>- увеличение расхода угля на 51 тыс. тонн</w:t>
            </w:r>
            <w:r w:rsidR="00F8514C">
              <w:rPr>
                <w:kern w:val="2"/>
                <w:sz w:val="22"/>
                <w:szCs w:val="22"/>
              </w:rPr>
              <w:t xml:space="preserve"> </w:t>
            </w:r>
            <w:r w:rsidRPr="00780E64">
              <w:rPr>
                <w:kern w:val="2"/>
                <w:sz w:val="22"/>
                <w:szCs w:val="22"/>
              </w:rPr>
              <w:t>за счет роста отпуска тепловой энергии на 7,9% от предусмотренного в тарифе показателя;</w:t>
            </w:r>
          </w:p>
          <w:p w:rsidR="00116FDE" w:rsidRPr="00780E64" w:rsidRDefault="00116FDE" w:rsidP="001B1F94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780E64">
              <w:rPr>
                <w:kern w:val="2"/>
                <w:sz w:val="22"/>
                <w:szCs w:val="22"/>
              </w:rPr>
              <w:t xml:space="preserve">- увеличение прейскурантной стоимости угля на 87,3 </w:t>
            </w:r>
            <w:proofErr w:type="gramStart"/>
            <w:r w:rsidRPr="00780E64">
              <w:rPr>
                <w:kern w:val="2"/>
                <w:sz w:val="22"/>
                <w:szCs w:val="22"/>
              </w:rPr>
              <w:t>млн</w:t>
            </w:r>
            <w:proofErr w:type="gramEnd"/>
            <w:r w:rsidR="00F8514C">
              <w:rPr>
                <w:kern w:val="2"/>
                <w:sz w:val="22"/>
                <w:szCs w:val="22"/>
              </w:rPr>
              <w:t xml:space="preserve"> </w:t>
            </w:r>
            <w:r w:rsidRPr="00780E64">
              <w:rPr>
                <w:kern w:val="2"/>
                <w:sz w:val="22"/>
                <w:szCs w:val="22"/>
              </w:rPr>
              <w:t>тенге связано с увеличением расхода угля, а также с ростом цены 1 тонны. В тарифной составляющей стоимость 1</w:t>
            </w:r>
            <w:r w:rsidR="0050041F">
              <w:rPr>
                <w:kern w:val="2"/>
                <w:sz w:val="22"/>
                <w:szCs w:val="22"/>
              </w:rPr>
              <w:t xml:space="preserve"> </w:t>
            </w:r>
            <w:r w:rsidRPr="00780E64">
              <w:rPr>
                <w:kern w:val="2"/>
                <w:sz w:val="22"/>
                <w:szCs w:val="22"/>
              </w:rPr>
              <w:t>тонны угля равна 1700,9 тенге, тогда как фактически этот показатель в 2016 году составил 1711 тенге за тонну;</w:t>
            </w:r>
          </w:p>
          <w:p w:rsidR="00116FDE" w:rsidRPr="00780E64" w:rsidRDefault="00116FDE" w:rsidP="0050041F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780E64">
              <w:rPr>
                <w:kern w:val="2"/>
                <w:sz w:val="22"/>
                <w:szCs w:val="22"/>
              </w:rPr>
              <w:t xml:space="preserve">- увеличение затрат на транспортировку угля на 115,7 </w:t>
            </w:r>
            <w:proofErr w:type="gramStart"/>
            <w:r w:rsidRPr="00780E64">
              <w:rPr>
                <w:kern w:val="2"/>
                <w:sz w:val="22"/>
                <w:szCs w:val="22"/>
              </w:rPr>
              <w:t>млн</w:t>
            </w:r>
            <w:proofErr w:type="gramEnd"/>
            <w:r w:rsidRPr="00780E64">
              <w:rPr>
                <w:kern w:val="2"/>
                <w:sz w:val="22"/>
                <w:szCs w:val="22"/>
              </w:rPr>
              <w:t xml:space="preserve"> тенге,</w:t>
            </w:r>
            <w:r w:rsidR="0050041F">
              <w:rPr>
                <w:kern w:val="2"/>
                <w:sz w:val="22"/>
                <w:szCs w:val="22"/>
              </w:rPr>
              <w:t xml:space="preserve"> что</w:t>
            </w:r>
            <w:r w:rsidRPr="00780E64">
              <w:rPr>
                <w:kern w:val="2"/>
                <w:sz w:val="22"/>
                <w:szCs w:val="22"/>
              </w:rPr>
              <w:t xml:space="preserve"> связано с увеличением расхода угля, а также </w:t>
            </w:r>
            <w:r w:rsidR="0050041F">
              <w:rPr>
                <w:kern w:val="2"/>
                <w:sz w:val="22"/>
                <w:szCs w:val="22"/>
              </w:rPr>
              <w:t>с</w:t>
            </w:r>
            <w:r w:rsidRPr="00780E64">
              <w:rPr>
                <w:kern w:val="2"/>
                <w:sz w:val="22"/>
                <w:szCs w:val="22"/>
              </w:rPr>
              <w:t xml:space="preserve"> рост</w:t>
            </w:r>
            <w:r w:rsidR="0050041F">
              <w:rPr>
                <w:kern w:val="2"/>
                <w:sz w:val="22"/>
                <w:szCs w:val="22"/>
              </w:rPr>
              <w:t>ом</w:t>
            </w:r>
            <w:r w:rsidRPr="00780E64">
              <w:rPr>
                <w:kern w:val="2"/>
                <w:sz w:val="22"/>
                <w:szCs w:val="22"/>
              </w:rPr>
              <w:t xml:space="preserve"> тарифа за транспортировку с 1 326,6 тенге за тонну до 1 399,2 тенге за тонну</w:t>
            </w: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Прейскурантная стоимость угля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1 037 139,8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1 124 429,6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Уголь, тонн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609 753,0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660 769,8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Стоимость транспортировки угля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808 909,4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924 576,3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АО " </w:t>
            </w:r>
            <w:proofErr w:type="spellStart"/>
            <w:r w:rsidRPr="00780E64">
              <w:rPr>
                <w:sz w:val="22"/>
                <w:szCs w:val="22"/>
              </w:rPr>
              <w:t>Каз</w:t>
            </w:r>
            <w:proofErr w:type="spellEnd"/>
            <w:r w:rsidRPr="00780E64">
              <w:rPr>
                <w:sz w:val="22"/>
                <w:szCs w:val="22"/>
              </w:rPr>
              <w:t xml:space="preserve"> Темир </w:t>
            </w:r>
            <w:proofErr w:type="spellStart"/>
            <w:r w:rsidRPr="00780E64">
              <w:rPr>
                <w:sz w:val="22"/>
                <w:szCs w:val="22"/>
              </w:rPr>
              <w:t>Жолы</w:t>
            </w:r>
            <w:proofErr w:type="spellEnd"/>
            <w:r w:rsidRPr="00780E6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676 691,4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771 747,1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14,0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       ЮУЖД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124 916,4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135 727,5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proofErr w:type="gramStart"/>
            <w:r w:rsidRPr="00780E64">
              <w:rPr>
                <w:sz w:val="22"/>
                <w:szCs w:val="22"/>
              </w:rPr>
              <w:t>Ж</w:t>
            </w:r>
            <w:proofErr w:type="gramEnd"/>
            <w:r w:rsidRPr="00780E64">
              <w:rPr>
                <w:sz w:val="22"/>
                <w:szCs w:val="22"/>
              </w:rPr>
              <w:t>/д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7 301,6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17 101,7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134,2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21 232,3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23 655,4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11,4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1.3.8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  Мазут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тонн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582,6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697,6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Энергия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1 010,7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9 310,6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821,2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ind w:firstLine="567"/>
              <w:jc w:val="both"/>
              <w:rPr>
                <w:kern w:val="2"/>
                <w:sz w:val="22"/>
                <w:szCs w:val="22"/>
              </w:rPr>
            </w:pPr>
            <w:r w:rsidRPr="00780E64">
              <w:rPr>
                <w:kern w:val="2"/>
                <w:sz w:val="22"/>
                <w:szCs w:val="22"/>
              </w:rPr>
              <w:t xml:space="preserve">- </w:t>
            </w:r>
            <w:proofErr w:type="spellStart"/>
            <w:r w:rsidRPr="00780E64">
              <w:rPr>
                <w:kern w:val="2"/>
                <w:sz w:val="22"/>
                <w:szCs w:val="22"/>
              </w:rPr>
              <w:t>переосвоение</w:t>
            </w:r>
            <w:proofErr w:type="spellEnd"/>
            <w:r w:rsidRPr="00780E64">
              <w:rPr>
                <w:kern w:val="2"/>
                <w:sz w:val="22"/>
                <w:szCs w:val="22"/>
              </w:rPr>
              <w:t xml:space="preserve"> по энергии связано с увеличением стоимости оказываемых услуг. В тарифе на 2016 год затраты на энергию утверждены на уровне 2015 года</w:t>
            </w:r>
          </w:p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 Расходы на оплату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131 392,0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220 975,7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68,2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bCs/>
                <w:sz w:val="22"/>
                <w:szCs w:val="22"/>
              </w:rPr>
            </w:pPr>
            <w:r w:rsidRPr="00780E64">
              <w:rPr>
                <w:bCs/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780E64">
              <w:rPr>
                <w:bCs/>
                <w:sz w:val="22"/>
                <w:szCs w:val="22"/>
              </w:rPr>
              <w:t>над</w:t>
            </w:r>
            <w:proofErr w:type="gramEnd"/>
            <w:r w:rsidRPr="00780E64">
              <w:rPr>
                <w:bCs/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1B1F94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Заработная плата производственного персонала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119 556,0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201 046,1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68,2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Социальный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11 836,0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19 929,6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68,4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 Амортизация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488 179,0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488 179,0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Ремонт, всего в т.</w:t>
            </w:r>
            <w:r w:rsidR="0050041F">
              <w:rPr>
                <w:b/>
                <w:bCs/>
                <w:sz w:val="22"/>
                <w:szCs w:val="22"/>
              </w:rPr>
              <w:t xml:space="preserve"> </w:t>
            </w:r>
            <w:r w:rsidRPr="00780E64"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201 783,0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278 605,4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38,1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b/>
                <w:bCs/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счет смещения графика ремонтных работ по причине несвоевременной поставки ТМЦ в предыдущих кварталах, что повлияло на распределение затрат на тепловую энергию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капитальный ремонт, не ведущий к увеличению стоимости основных фондов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70 548,0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71 408,1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   текущий ремонт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131 235,0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207 197,3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outlineLvl w:val="0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57,9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315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Прочие затраты производственного характера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143 574,2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198 003,5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37,9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613,9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увеличением количества человек, проходящих подготовку</w:t>
            </w:r>
            <w:r w:rsidR="0050041F">
              <w:rPr>
                <w:sz w:val="22"/>
                <w:szCs w:val="22"/>
              </w:rPr>
              <w:t>,</w:t>
            </w:r>
            <w:r w:rsidRPr="00780E64">
              <w:rPr>
                <w:sz w:val="22"/>
                <w:szCs w:val="22"/>
              </w:rPr>
              <w:t xml:space="preserve"> и стоимости услуг относительно утвержденных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поверка приборов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2277,0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2647,7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увеличением стоимости услуг относительно утвержденных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РГП "</w:t>
            </w:r>
            <w:proofErr w:type="spellStart"/>
            <w:r w:rsidRPr="00780E64">
              <w:rPr>
                <w:sz w:val="22"/>
                <w:szCs w:val="22"/>
              </w:rPr>
              <w:t>Казводхоз</w:t>
            </w:r>
            <w:proofErr w:type="spellEnd"/>
            <w:r w:rsidRPr="00780E64">
              <w:rPr>
                <w:sz w:val="22"/>
                <w:szCs w:val="22"/>
              </w:rPr>
              <w:t>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579,0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618,1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6,8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отклонения связаны с изменениями объема и стоимости оказываемых услуг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48531,3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45499,7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-6,2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proofErr w:type="spellStart"/>
            <w:r w:rsidRPr="00780E64">
              <w:rPr>
                <w:sz w:val="22"/>
                <w:szCs w:val="22"/>
              </w:rPr>
              <w:t>демеркуризация</w:t>
            </w:r>
            <w:proofErr w:type="spellEnd"/>
            <w:r w:rsidRPr="00780E64">
              <w:rPr>
                <w:sz w:val="22"/>
                <w:szCs w:val="22"/>
              </w:rPr>
              <w:t xml:space="preserve"> ртутьсодержащих ламп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23,1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-11,2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Услуги </w:t>
            </w:r>
            <w:proofErr w:type="spellStart"/>
            <w:r w:rsidRPr="00780E64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194,5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197,6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1,6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1323,8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-9,7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3048,2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3090,6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4134,6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4569,2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10,5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12136,2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12687,9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4,5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93,2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2670,0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2794,9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5.13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Налоги </w:t>
            </w:r>
            <w:proofErr w:type="gramStart"/>
            <w:r w:rsidRPr="00780E64">
              <w:rPr>
                <w:sz w:val="22"/>
                <w:szCs w:val="22"/>
              </w:rPr>
              <w:t xml:space="preserve">( </w:t>
            </w:r>
            <w:proofErr w:type="gramEnd"/>
            <w:r w:rsidRPr="00780E64">
              <w:rPr>
                <w:sz w:val="22"/>
                <w:szCs w:val="22"/>
              </w:rPr>
              <w:t>плата за выбросы)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52860,0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104624,0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97,9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объёма отпуска тепловой энергии и повышения ставок на эмиссии в окружающую среду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Охрана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6336,0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9484,3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49,7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proofErr w:type="spellStart"/>
            <w:r w:rsidRPr="00780E64">
              <w:rPr>
                <w:sz w:val="22"/>
                <w:szCs w:val="22"/>
              </w:rPr>
              <w:t>Переосвоени</w:t>
            </w:r>
            <w:r w:rsidR="0050041F">
              <w:rPr>
                <w:sz w:val="22"/>
                <w:szCs w:val="22"/>
              </w:rPr>
              <w:t>е</w:t>
            </w:r>
            <w:proofErr w:type="spellEnd"/>
            <w:r w:rsidR="0050041F">
              <w:rPr>
                <w:sz w:val="22"/>
                <w:szCs w:val="22"/>
              </w:rPr>
              <w:t xml:space="preserve"> связано с ростом цен на спец. одежду, спец. </w:t>
            </w:r>
            <w:r w:rsidRPr="00780E64">
              <w:rPr>
                <w:sz w:val="22"/>
                <w:szCs w:val="22"/>
              </w:rPr>
              <w:t xml:space="preserve">обувь, защитные средства и спец. </w:t>
            </w:r>
            <w:r w:rsidR="0050041F">
              <w:rPr>
                <w:sz w:val="22"/>
                <w:szCs w:val="22"/>
              </w:rPr>
              <w:t>ж</w:t>
            </w:r>
            <w:r w:rsidRPr="00780E64">
              <w:rPr>
                <w:sz w:val="22"/>
                <w:szCs w:val="22"/>
              </w:rPr>
              <w:t>иры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Вода и канализация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6841,0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7819,8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тарифов. В утве</w:t>
            </w:r>
            <w:r w:rsidR="0050041F">
              <w:rPr>
                <w:sz w:val="22"/>
                <w:szCs w:val="22"/>
              </w:rPr>
              <w:t xml:space="preserve">рждённом тарифе 235,062 тенге/м куб. по факту 356,28 тенге/м </w:t>
            </w:r>
            <w:r w:rsidRPr="00780E64">
              <w:rPr>
                <w:sz w:val="22"/>
                <w:szCs w:val="22"/>
              </w:rPr>
              <w:t>куб</w:t>
            </w:r>
            <w:r w:rsidR="0050041F">
              <w:rPr>
                <w:sz w:val="22"/>
                <w:szCs w:val="22"/>
              </w:rPr>
              <w:t>.</w:t>
            </w:r>
            <w:r w:rsidRPr="00780E64">
              <w:rPr>
                <w:sz w:val="22"/>
                <w:szCs w:val="22"/>
              </w:rPr>
              <w:t xml:space="preserve"> (утверждён с 01.12.2013г</w:t>
            </w:r>
            <w:r w:rsidR="0050041F">
              <w:rPr>
                <w:sz w:val="22"/>
                <w:szCs w:val="22"/>
              </w:rPr>
              <w:t>.</w:t>
            </w:r>
            <w:r w:rsidRPr="00780E64">
              <w:rPr>
                <w:sz w:val="22"/>
                <w:szCs w:val="22"/>
              </w:rPr>
              <w:t>)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Плата в бюджет за воду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573,5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473,2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-17,5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Плата за РЧС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27,3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162,5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связано с ростом МРП относительно утверждённого, так же с увеличением коэффициента распределения затрат на тепловую энергию</w:t>
            </w: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proofErr w:type="gramStart"/>
            <w:r w:rsidRPr="00780E64">
              <w:rPr>
                <w:sz w:val="22"/>
                <w:szCs w:val="22"/>
              </w:rPr>
              <w:t>Комплектующие</w:t>
            </w:r>
            <w:proofErr w:type="gramEnd"/>
            <w:r w:rsidRPr="00780E64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745,9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840,9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стоимости закупаемых товаров</w:t>
            </w: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5.19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C40410" w:rsidRDefault="00116FDE">
            <w:pPr>
              <w:jc w:val="center"/>
              <w:rPr>
                <w:sz w:val="22"/>
                <w:szCs w:val="22"/>
              </w:rPr>
            </w:pPr>
            <w:r w:rsidRPr="00C40410">
              <w:rPr>
                <w:sz w:val="22"/>
                <w:szCs w:val="22"/>
              </w:rPr>
              <w:t>511,9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C40410" w:rsidRDefault="00116FDE">
            <w:pPr>
              <w:jc w:val="center"/>
              <w:rPr>
                <w:sz w:val="22"/>
                <w:szCs w:val="22"/>
              </w:rPr>
            </w:pPr>
            <w:r w:rsidRPr="00C40410">
              <w:rPr>
                <w:sz w:val="22"/>
                <w:szCs w:val="22"/>
              </w:rPr>
              <w:t>561,1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9,6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FDE" w:rsidRPr="00780E64" w:rsidRDefault="00116FDE" w:rsidP="001B1F94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стоимости закупаемых товаров</w:t>
            </w:r>
          </w:p>
        </w:tc>
      </w:tr>
      <w:tr w:rsidR="00AC52BB" w:rsidRPr="00780E64" w:rsidTr="00C40410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B" w:rsidRPr="00780E64" w:rsidRDefault="00AC52BB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B" w:rsidRPr="00780E64" w:rsidRDefault="00AC52BB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Расходы периода</w:t>
            </w:r>
            <w:r w:rsidR="0050041F">
              <w:rPr>
                <w:b/>
                <w:bCs/>
                <w:sz w:val="22"/>
                <w:szCs w:val="22"/>
              </w:rPr>
              <w:t xml:space="preserve"> </w:t>
            </w:r>
            <w:r w:rsidRPr="00780E64">
              <w:rPr>
                <w:b/>
                <w:bCs/>
                <w:sz w:val="22"/>
                <w:szCs w:val="22"/>
              </w:rPr>
              <w:t xml:space="preserve">- всего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52BB" w:rsidRPr="00780E64" w:rsidRDefault="00AC52BB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C52BB" w:rsidRPr="00C40410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10">
              <w:rPr>
                <w:b/>
                <w:bCs/>
                <w:sz w:val="22"/>
                <w:szCs w:val="22"/>
              </w:rPr>
              <w:t>141556,7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AC52BB" w:rsidRPr="00C40410" w:rsidRDefault="00AC52BB" w:rsidP="00BF28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242637,4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C52BB" w:rsidRPr="00780E64" w:rsidRDefault="00AC52BB" w:rsidP="00BF288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52BB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 Общие и административные расходы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C40410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10">
              <w:rPr>
                <w:b/>
                <w:bCs/>
                <w:sz w:val="22"/>
                <w:szCs w:val="22"/>
              </w:rPr>
              <w:t>141556,7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C40410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242637,4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C40410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C40410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C4041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lastRenderedPageBreak/>
              <w:t>6.1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Оплата труда: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40544,0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102151,9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152,0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16FDE" w:rsidRPr="00780E64" w:rsidRDefault="00116FDE" w:rsidP="001B1F94">
            <w:pPr>
              <w:jc w:val="both"/>
              <w:rPr>
                <w:b/>
                <w:bCs/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Связано с превышением фактической среднемесячной заработной платы </w:t>
            </w:r>
            <w:proofErr w:type="gramStart"/>
            <w:r w:rsidRPr="00780E64">
              <w:rPr>
                <w:sz w:val="22"/>
                <w:szCs w:val="22"/>
              </w:rPr>
              <w:t>над</w:t>
            </w:r>
            <w:proofErr w:type="gramEnd"/>
            <w:r w:rsidRPr="00780E64">
              <w:rPr>
                <w:sz w:val="22"/>
                <w:szCs w:val="22"/>
              </w:rPr>
              <w:t xml:space="preserve"> предусмотренной в действующем тарифе в целях сдерживания массового оттока квалифицированного персонала</w:t>
            </w:r>
          </w:p>
        </w:tc>
      </w:tr>
      <w:tr w:rsidR="001B1F94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8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8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8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F94" w:rsidRPr="00780E64" w:rsidRDefault="001B1F94" w:rsidP="001F2897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6.1.1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36632,0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84849,4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131,6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6.1.2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2908,0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14781,3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408,3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6.1.3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Здравпункт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2521,2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151,1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Социальный налог, соц. страх</w:t>
            </w:r>
            <w:r w:rsidR="006B29F0">
              <w:rPr>
                <w:sz w:val="22"/>
                <w:szCs w:val="22"/>
              </w:rPr>
              <w:t>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4013,5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10155,6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153,0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B1F94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8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780E64">
              <w:rPr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F94" w:rsidRPr="00780E64" w:rsidRDefault="001B1F9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6.2.1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Административный персонал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3626,5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8428,8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132,4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6.2.2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Рабочие 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288,0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1478,1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413,2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6.2.3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Здравпункт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248,7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151,2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Налоговые платежи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52284,1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58840,2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12,5</w:t>
            </w:r>
          </w:p>
        </w:tc>
        <w:tc>
          <w:tcPr>
            <w:tcW w:w="551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Основной причиной </w:t>
            </w:r>
            <w:proofErr w:type="spellStart"/>
            <w:r w:rsidRPr="00780E64">
              <w:rPr>
                <w:sz w:val="22"/>
                <w:szCs w:val="22"/>
              </w:rPr>
              <w:t>переосвоения</w:t>
            </w:r>
            <w:proofErr w:type="spellEnd"/>
            <w:r w:rsidRPr="00780E64">
              <w:rPr>
                <w:sz w:val="22"/>
                <w:szCs w:val="22"/>
              </w:rPr>
              <w:t xml:space="preserve"> является рост расходов по налогу на имущество в связи с вводом основных средств</w:t>
            </w:r>
          </w:p>
        </w:tc>
      </w:tr>
      <w:tr w:rsidR="001B1F94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rPr>
                <w:i/>
                <w:iCs/>
                <w:sz w:val="22"/>
                <w:szCs w:val="22"/>
              </w:rPr>
            </w:pPr>
            <w:r w:rsidRPr="00780E64">
              <w:rPr>
                <w:i/>
                <w:iCs/>
                <w:sz w:val="22"/>
                <w:szCs w:val="22"/>
              </w:rPr>
              <w:t xml:space="preserve">в том числе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B1F94" w:rsidRPr="00780E64" w:rsidRDefault="001B1F94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6.3.1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Налог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49942,0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56441,6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13,0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6.3.2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Налог на транспорт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41,4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-36,2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6.3.3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Аренда земли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2032,5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2098,3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3,2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6.3.4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  Прочие налоги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268,2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273,9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2,1</w:t>
            </w:r>
          </w:p>
        </w:tc>
        <w:tc>
          <w:tcPr>
            <w:tcW w:w="551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Прочие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44715,1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71489,7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59,9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Командировочные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4845,6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224,8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Расходы на периодическую печать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354,0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362,8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Коммунальные услуги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3272,6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3661,9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11,9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Основной причиной роста затрат является увеличение тарифов на воду и канализацию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1687,5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1647,0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-2,4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банка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5041,0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19293,6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282,7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количества банковских операций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Амортизация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15008,0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15008,0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аудита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1251,0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4495,7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259,4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автотранспортных предприятий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3852,7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3707,4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-3,8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пожарной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376,6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376,6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охраны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1157,6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1239,0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пассажирского транспорта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1466,8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1692,9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15,4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Услуги  </w:t>
            </w:r>
            <w:proofErr w:type="spellStart"/>
            <w:r w:rsidRPr="00780E64">
              <w:rPr>
                <w:sz w:val="22"/>
                <w:szCs w:val="22"/>
              </w:rPr>
              <w:t>дезостанции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 вывозу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260,2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211,1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-18,9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Уменьшение связано со снижением количества оказываемых услуг, а также </w:t>
            </w:r>
            <w:r w:rsidR="006B29F0">
              <w:rPr>
                <w:sz w:val="22"/>
                <w:szCs w:val="22"/>
              </w:rPr>
              <w:t xml:space="preserve">с </w:t>
            </w:r>
            <w:r w:rsidRPr="00780E64">
              <w:rPr>
                <w:sz w:val="22"/>
                <w:szCs w:val="22"/>
              </w:rPr>
              <w:t>изменением распределения затрат на тепловую энергию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proofErr w:type="gramStart"/>
            <w:r w:rsidRPr="00780E64">
              <w:rPr>
                <w:sz w:val="22"/>
                <w:szCs w:val="22"/>
              </w:rPr>
              <w:t>Комплектующие</w:t>
            </w:r>
            <w:proofErr w:type="gramEnd"/>
            <w:r w:rsidRPr="00780E64">
              <w:rPr>
                <w:sz w:val="22"/>
                <w:szCs w:val="22"/>
              </w:rPr>
              <w:t xml:space="preserve"> к орг. технике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Канцелярские 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2183,6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1873,3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-14,2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Уменьшение связано со снижением количества </w:t>
            </w:r>
            <w:r w:rsidRPr="00780E64">
              <w:rPr>
                <w:sz w:val="22"/>
                <w:szCs w:val="22"/>
              </w:rPr>
              <w:lastRenderedPageBreak/>
              <w:t xml:space="preserve">закупаемых товаров, а также </w:t>
            </w:r>
            <w:r w:rsidR="006B29F0">
              <w:rPr>
                <w:sz w:val="22"/>
                <w:szCs w:val="22"/>
              </w:rPr>
              <w:t xml:space="preserve">с </w:t>
            </w:r>
            <w:r w:rsidRPr="00780E64">
              <w:rPr>
                <w:sz w:val="22"/>
                <w:szCs w:val="22"/>
              </w:rPr>
              <w:t>изменением распределения затрат на тепловую энергию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lastRenderedPageBreak/>
              <w:t>6.4.16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Содержание зданий, сооружений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832,0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4004,3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381,3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Подготовка кадров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783,0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672,7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-14,1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Уменьшение связано со снижением количества оказываемых услуг, а также</w:t>
            </w:r>
            <w:r w:rsidR="006B29F0">
              <w:rPr>
                <w:sz w:val="22"/>
                <w:szCs w:val="22"/>
              </w:rPr>
              <w:t xml:space="preserve"> с</w:t>
            </w:r>
            <w:r w:rsidRPr="00780E64">
              <w:rPr>
                <w:sz w:val="22"/>
                <w:szCs w:val="22"/>
              </w:rPr>
              <w:t xml:space="preserve"> изменением распределения затрат на тепловую энергию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Расходы по охране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1637,1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1802,0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proofErr w:type="spellStart"/>
            <w:r w:rsidRPr="00780E64">
              <w:rPr>
                <w:sz w:val="22"/>
                <w:szCs w:val="22"/>
              </w:rPr>
              <w:t>Переосвоение</w:t>
            </w:r>
            <w:proofErr w:type="spellEnd"/>
            <w:r w:rsidRPr="00780E64">
              <w:rPr>
                <w:sz w:val="22"/>
                <w:szCs w:val="22"/>
              </w:rPr>
              <w:t xml:space="preserve"> связано с ростом цен на спец. одежду, спец. обувь, защитные средства и спец. жиры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Износ по нематериальным активам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212,7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108,5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proofErr w:type="spellStart"/>
            <w:r w:rsidRPr="00780E64">
              <w:rPr>
                <w:sz w:val="22"/>
                <w:szCs w:val="22"/>
              </w:rPr>
              <w:t>Переосвоение</w:t>
            </w:r>
            <w:proofErr w:type="spellEnd"/>
            <w:r w:rsidRPr="00780E64">
              <w:rPr>
                <w:sz w:val="22"/>
                <w:szCs w:val="22"/>
              </w:rPr>
              <w:t xml:space="preserve"> связано с вводом новых активов (лицензионные соглашения)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 страхованию ГПО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1703,0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2842,4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66,9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СМИ на размещение объявлений производственного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401,0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823,6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105,4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6B29F0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связано с ростом стоимости услуг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библиотеки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proofErr w:type="spellStart"/>
            <w:r w:rsidRPr="00780E64">
              <w:rPr>
                <w:sz w:val="22"/>
                <w:szCs w:val="22"/>
              </w:rPr>
              <w:t>Энергоаудит</w:t>
            </w:r>
            <w:proofErr w:type="spellEnd"/>
            <w:r w:rsidRPr="00780E64">
              <w:rPr>
                <w:sz w:val="22"/>
                <w:szCs w:val="22"/>
              </w:rPr>
              <w:t xml:space="preserve"> энергосбережения и повышение </w:t>
            </w:r>
            <w:proofErr w:type="spellStart"/>
            <w:r w:rsidRPr="00780E64">
              <w:rPr>
                <w:sz w:val="22"/>
                <w:szCs w:val="22"/>
              </w:rPr>
              <w:t>энергоэффективности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Информационное обеспечение (АО "</w:t>
            </w:r>
            <w:proofErr w:type="spellStart"/>
            <w:r w:rsidRPr="00780E64">
              <w:rPr>
                <w:sz w:val="22"/>
                <w:szCs w:val="22"/>
              </w:rPr>
              <w:t>НаЦЭкС</w:t>
            </w:r>
            <w:proofErr w:type="spellEnd"/>
            <w:r w:rsidRPr="00780E64">
              <w:rPr>
                <w:sz w:val="22"/>
                <w:szCs w:val="22"/>
              </w:rPr>
              <w:t>")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106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почты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448,0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461,0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6.4.26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нотариальные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40,1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78,1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94,8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по ведению реестра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398,9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827,7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За счёт увеличения объёма оказываемых услуг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6.4.28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Услуги стандартизации и метрологии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28,8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61,8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</w:t>
            </w:r>
            <w:r w:rsidR="006B29F0">
              <w:rPr>
                <w:sz w:val="22"/>
                <w:szCs w:val="22"/>
              </w:rPr>
              <w:t>вязано с ростом стоимости услуг</w:t>
            </w:r>
            <w:r w:rsidRPr="00780E64">
              <w:rPr>
                <w:sz w:val="22"/>
                <w:szCs w:val="22"/>
              </w:rPr>
              <w:t xml:space="preserve"> относительно утверждённых в тарифе данных</w:t>
            </w: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6.4.29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 Содержание здравпункта ( за минусом </w:t>
            </w:r>
            <w:proofErr w:type="spellStart"/>
            <w:r w:rsidRPr="00780E64">
              <w:rPr>
                <w:sz w:val="22"/>
                <w:szCs w:val="22"/>
              </w:rPr>
              <w:t>затр</w:t>
            </w:r>
            <w:proofErr w:type="spellEnd"/>
            <w:r w:rsidR="006B29F0">
              <w:rPr>
                <w:sz w:val="22"/>
                <w:szCs w:val="22"/>
              </w:rPr>
              <w:t>. по з/</w:t>
            </w:r>
            <w:proofErr w:type="gramStart"/>
            <w:r w:rsidR="006B29F0">
              <w:rPr>
                <w:sz w:val="22"/>
                <w:szCs w:val="22"/>
              </w:rPr>
              <w:t>п</w:t>
            </w:r>
            <w:proofErr w:type="gramEnd"/>
            <w:r w:rsidRPr="00780E64">
              <w:rPr>
                <w:sz w:val="22"/>
                <w:szCs w:val="22"/>
              </w:rPr>
              <w:t xml:space="preserve">, с/нал, </w:t>
            </w:r>
            <w:proofErr w:type="spellStart"/>
            <w:r w:rsidRPr="00780E64">
              <w:rPr>
                <w:sz w:val="22"/>
                <w:szCs w:val="22"/>
              </w:rPr>
              <w:t>обяз</w:t>
            </w:r>
            <w:proofErr w:type="spellEnd"/>
            <w:r w:rsidR="006B29F0">
              <w:rPr>
                <w:sz w:val="22"/>
                <w:szCs w:val="22"/>
              </w:rPr>
              <w:t>.</w:t>
            </w:r>
            <w:r w:rsidRPr="00780E64">
              <w:rPr>
                <w:sz w:val="22"/>
                <w:szCs w:val="22"/>
              </w:rPr>
              <w:t xml:space="preserve"> </w:t>
            </w:r>
            <w:proofErr w:type="gramStart"/>
            <w:r w:rsidR="006B29F0" w:rsidRPr="00780E64">
              <w:rPr>
                <w:sz w:val="22"/>
                <w:szCs w:val="22"/>
              </w:rPr>
              <w:t>С</w:t>
            </w:r>
            <w:r w:rsidRPr="00780E64">
              <w:rPr>
                <w:sz w:val="22"/>
                <w:szCs w:val="22"/>
              </w:rPr>
              <w:t>тр</w:t>
            </w:r>
            <w:r w:rsidR="006B29F0">
              <w:rPr>
                <w:sz w:val="22"/>
                <w:szCs w:val="22"/>
              </w:rPr>
              <w:t>.</w:t>
            </w:r>
            <w:r w:rsidRPr="00780E64">
              <w:rPr>
                <w:sz w:val="22"/>
                <w:szCs w:val="22"/>
              </w:rPr>
              <w:t xml:space="preserve">, коммунальных </w:t>
            </w:r>
            <w:proofErr w:type="spellStart"/>
            <w:r w:rsidRPr="00780E64">
              <w:rPr>
                <w:sz w:val="22"/>
                <w:szCs w:val="22"/>
              </w:rPr>
              <w:t>усл</w:t>
            </w:r>
            <w:proofErr w:type="spellEnd"/>
            <w:r w:rsidR="006B29F0">
              <w:rPr>
                <w:sz w:val="22"/>
                <w:szCs w:val="22"/>
              </w:rPr>
              <w:t>.</w:t>
            </w:r>
            <w:r w:rsidRPr="00780E64">
              <w:rPr>
                <w:sz w:val="22"/>
                <w:szCs w:val="22"/>
              </w:rPr>
              <w:t>, амортизации)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549,7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423,5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 w:rsidP="00222451">
            <w:pPr>
              <w:jc w:val="both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Увеличение затрат с</w:t>
            </w:r>
            <w:r w:rsidR="006B29F0">
              <w:rPr>
                <w:sz w:val="22"/>
                <w:szCs w:val="22"/>
              </w:rPr>
              <w:t>вязано с ростом стоимости услуг</w:t>
            </w:r>
            <w:r w:rsidRPr="00780E64">
              <w:rPr>
                <w:sz w:val="22"/>
                <w:szCs w:val="22"/>
              </w:rPr>
              <w:t xml:space="preserve"> относительно утверждённых в тарифе данных</w:t>
            </w:r>
          </w:p>
        </w:tc>
      </w:tr>
      <w:tr w:rsidR="00116FDE" w:rsidRPr="00780E64" w:rsidTr="00C40410">
        <w:trPr>
          <w:trHeight w:val="499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Проведение верификации отчетов инвентаризации парниковых газов с оформлением сопутствующих документов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1 164,7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1 164,7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0,0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6.4.31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Расходы по техдокументации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35,9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3,2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III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 Всего затрат на предоставление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3 008 865,5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3 554 678,4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AC52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18,1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C40410">
        <w:trPr>
          <w:trHeight w:val="5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IV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ДУП без КПН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164 613,0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780E64" w:rsidRDefault="00116FDE" w:rsidP="00F0376D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-</w:t>
            </w:r>
            <w:r w:rsidR="00F0376D">
              <w:rPr>
                <w:b/>
                <w:bCs/>
                <w:sz w:val="22"/>
                <w:szCs w:val="22"/>
              </w:rPr>
              <w:t>171 943,5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F0376D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-</w:t>
            </w:r>
            <w:r w:rsidR="00F0376D">
              <w:rPr>
                <w:b/>
                <w:bCs/>
                <w:sz w:val="22"/>
                <w:szCs w:val="22"/>
              </w:rPr>
              <w:t>204,5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116FDE" w:rsidRPr="00780E64" w:rsidTr="00C40410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V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Регулируемая база задействованных активов (РБА)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10 670 904,0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  <w:hideMark/>
          </w:tcPr>
          <w:p w:rsidR="00116FDE" w:rsidRPr="00780E64" w:rsidRDefault="00AC52BB">
            <w:pPr>
              <w:jc w:val="center"/>
              <w:rPr>
                <w:sz w:val="22"/>
                <w:szCs w:val="22"/>
              </w:rPr>
            </w:pPr>
            <w:r w:rsidRPr="00AC52BB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 </w:t>
            </w:r>
            <w:r w:rsidRPr="00AC52BB">
              <w:rPr>
                <w:sz w:val="22"/>
                <w:szCs w:val="22"/>
              </w:rPr>
              <w:t>648</w:t>
            </w:r>
            <w:r>
              <w:rPr>
                <w:sz w:val="22"/>
                <w:szCs w:val="22"/>
              </w:rPr>
              <w:t xml:space="preserve"> </w:t>
            </w:r>
            <w:r w:rsidRPr="00AC52BB">
              <w:rPr>
                <w:sz w:val="22"/>
                <w:szCs w:val="22"/>
              </w:rPr>
              <w:t>409,2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F037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46,6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</w:p>
        </w:tc>
      </w:tr>
      <w:tr w:rsidR="00116FDE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VI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 w:rsidP="001F2897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 xml:space="preserve">тыс. </w:t>
            </w:r>
            <w:proofErr w:type="spellStart"/>
            <w:r w:rsidRPr="00780E64">
              <w:rPr>
                <w:sz w:val="22"/>
                <w:szCs w:val="22"/>
              </w:rPr>
              <w:t>тнг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3 173 478,5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6FDE" w:rsidRPr="00780E64" w:rsidRDefault="00F0376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3 382 734,9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7,4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16FDE" w:rsidRPr="00780E64" w:rsidRDefault="00116FD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60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VII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Объем оказываемых 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тыс. 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1764,849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1904,565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7,9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</w:p>
        </w:tc>
      </w:tr>
      <w:tr w:rsidR="007C336C" w:rsidRPr="00780E64" w:rsidTr="00116FDE">
        <w:trPr>
          <w:trHeight w:val="701"/>
        </w:trPr>
        <w:tc>
          <w:tcPr>
            <w:tcW w:w="86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lastRenderedPageBreak/>
              <w:t>IX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 xml:space="preserve">Тариф </w:t>
            </w:r>
            <w:proofErr w:type="gramStart"/>
            <w:r w:rsidRPr="00780E64">
              <w:rPr>
                <w:b/>
                <w:bCs/>
                <w:sz w:val="22"/>
                <w:szCs w:val="22"/>
              </w:rPr>
              <w:t xml:space="preserve">( </w:t>
            </w:r>
            <w:proofErr w:type="gramEnd"/>
            <w:r w:rsidRPr="00780E64">
              <w:rPr>
                <w:b/>
                <w:bCs/>
                <w:sz w:val="22"/>
                <w:szCs w:val="22"/>
              </w:rPr>
              <w:t>цена, ставка сбора) без НДС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sz w:val="22"/>
                <w:szCs w:val="22"/>
              </w:rPr>
            </w:pPr>
            <w:r w:rsidRPr="00780E64">
              <w:rPr>
                <w:sz w:val="22"/>
                <w:szCs w:val="22"/>
              </w:rPr>
              <w:t>тенге/Гкал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1 798,16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с 01.01.2016 - 1783,32; с 04.08.2016 - 1798,16</w:t>
            </w:r>
          </w:p>
        </w:tc>
        <w:tc>
          <w:tcPr>
            <w:tcW w:w="10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C336C" w:rsidRPr="00780E64" w:rsidRDefault="007C336C">
            <w:pPr>
              <w:jc w:val="center"/>
              <w:rPr>
                <w:b/>
                <w:bCs/>
                <w:sz w:val="22"/>
                <w:szCs w:val="22"/>
              </w:rPr>
            </w:pPr>
            <w:r w:rsidRPr="00780E64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1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C336C" w:rsidRPr="00780E64" w:rsidRDefault="00780E64" w:rsidP="006B29F0">
            <w:pPr>
              <w:jc w:val="both"/>
              <w:rPr>
                <w:bCs/>
                <w:sz w:val="22"/>
                <w:szCs w:val="22"/>
              </w:rPr>
            </w:pPr>
            <w:proofErr w:type="gramStart"/>
            <w:r w:rsidRPr="00780E64">
              <w:rPr>
                <w:bCs/>
                <w:sz w:val="22"/>
                <w:szCs w:val="22"/>
              </w:rPr>
              <w:t>В соответствии с приказом РГУ "ДКРЕМ и ЗК Министерства национальной экономики РК по СКО № 152-ОД от 24 ноября 2015 года "Об утверждении предельного уровня тарифа и тарифной сметы на услугу по производству тепловой энергии АО "СЕВКАЗЭНЕРГО" на долгосрочный период с 01 января 2016 года по 31 декабря 2020 года"</w:t>
            </w:r>
            <w:r w:rsidR="006B29F0">
              <w:rPr>
                <w:bCs/>
                <w:sz w:val="22"/>
                <w:szCs w:val="22"/>
              </w:rPr>
              <w:t xml:space="preserve"> был утверждён тариф на</w:t>
            </w:r>
            <w:r w:rsidRPr="00780E64">
              <w:rPr>
                <w:bCs/>
                <w:sz w:val="22"/>
                <w:szCs w:val="22"/>
              </w:rPr>
              <w:t xml:space="preserve"> 1 января 2016 года в размере 1783,32</w:t>
            </w:r>
            <w:proofErr w:type="gramEnd"/>
            <w:r w:rsidRPr="00780E64">
              <w:rPr>
                <w:bCs/>
                <w:sz w:val="22"/>
                <w:szCs w:val="22"/>
              </w:rPr>
              <w:t xml:space="preserve">  тенге/Гкал без НДС. </w:t>
            </w:r>
            <w:proofErr w:type="gramStart"/>
            <w:r w:rsidRPr="00780E64">
              <w:rPr>
                <w:bCs/>
                <w:sz w:val="22"/>
                <w:szCs w:val="22"/>
              </w:rPr>
              <w:t xml:space="preserve">В соответствии с приказом РГУ "ДКРЕМ и ЗК Министерства национальной экономики РК по СКО </w:t>
            </w:r>
            <w:r w:rsidR="006B29F0">
              <w:rPr>
                <w:bCs/>
                <w:sz w:val="22"/>
                <w:szCs w:val="22"/>
              </w:rPr>
              <w:t>№ 57-ОД от 29 июля 2016 года  "</w:t>
            </w:r>
            <w:r w:rsidRPr="00780E64">
              <w:rPr>
                <w:bCs/>
                <w:sz w:val="22"/>
                <w:szCs w:val="22"/>
              </w:rPr>
              <w:t>Об утверждении тарифной сметы в качестве чрезвычайной регулирующей меры на услугу по производству тепловой энергии АО "СЕВКАЗЭНЕРГО" на период с 05 августа 201</w:t>
            </w:r>
            <w:r w:rsidR="006B29F0">
              <w:rPr>
                <w:bCs/>
                <w:sz w:val="22"/>
                <w:szCs w:val="22"/>
              </w:rPr>
              <w:t>6 года по 31 декабря 2016 года"</w:t>
            </w:r>
            <w:r w:rsidRPr="00780E64">
              <w:rPr>
                <w:bCs/>
                <w:sz w:val="22"/>
                <w:szCs w:val="22"/>
              </w:rPr>
              <w:t xml:space="preserve"> б</w:t>
            </w:r>
            <w:r w:rsidR="006B29F0">
              <w:rPr>
                <w:bCs/>
                <w:sz w:val="22"/>
                <w:szCs w:val="22"/>
              </w:rPr>
              <w:t>ыл утверждён тариф с 05 августа</w:t>
            </w:r>
            <w:r w:rsidRPr="00780E64">
              <w:rPr>
                <w:bCs/>
                <w:sz w:val="22"/>
                <w:szCs w:val="22"/>
              </w:rPr>
              <w:t xml:space="preserve"> 2016 года в размере 1798,16</w:t>
            </w:r>
            <w:proofErr w:type="gramEnd"/>
            <w:r w:rsidRPr="00780E64">
              <w:rPr>
                <w:bCs/>
                <w:sz w:val="22"/>
                <w:szCs w:val="22"/>
              </w:rPr>
              <w:t xml:space="preserve"> тенге/Гкал без НДС</w:t>
            </w:r>
          </w:p>
        </w:tc>
      </w:tr>
    </w:tbl>
    <w:p w:rsidR="001C2816" w:rsidRPr="00780E64" w:rsidRDefault="001C2816" w:rsidP="00EC30FF">
      <w:pPr>
        <w:rPr>
          <w:kern w:val="2"/>
          <w:sz w:val="22"/>
          <w:szCs w:val="22"/>
        </w:rPr>
      </w:pPr>
    </w:p>
    <w:p w:rsidR="007C336C" w:rsidRPr="00780E64" w:rsidRDefault="007C336C">
      <w:pPr>
        <w:rPr>
          <w:kern w:val="2"/>
          <w:sz w:val="22"/>
          <w:szCs w:val="22"/>
        </w:rPr>
        <w:sectPr w:rsidR="007C336C" w:rsidRPr="00780E64" w:rsidSect="007C336C">
          <w:pgSz w:w="16838" w:h="11906" w:orient="landscape" w:code="9"/>
          <w:pgMar w:top="1134" w:right="851" w:bottom="567" w:left="567" w:header="709" w:footer="709" w:gutter="0"/>
          <w:cols w:space="708"/>
          <w:docGrid w:linePitch="360"/>
        </w:sectPr>
      </w:pPr>
    </w:p>
    <w:p w:rsidR="00CA50E7" w:rsidRPr="00780E64" w:rsidRDefault="00116FDE" w:rsidP="009C6814">
      <w:pPr>
        <w:ind w:firstLine="567"/>
        <w:jc w:val="both"/>
        <w:rPr>
          <w:kern w:val="2"/>
          <w:sz w:val="22"/>
          <w:szCs w:val="22"/>
        </w:rPr>
      </w:pPr>
      <w:r w:rsidRPr="00780E64">
        <w:rPr>
          <w:kern w:val="2"/>
          <w:sz w:val="22"/>
          <w:szCs w:val="22"/>
        </w:rPr>
        <w:lastRenderedPageBreak/>
        <w:t>Ф</w:t>
      </w:r>
      <w:r w:rsidR="00CA50E7" w:rsidRPr="00780E64">
        <w:rPr>
          <w:kern w:val="2"/>
          <w:sz w:val="22"/>
          <w:szCs w:val="22"/>
        </w:rPr>
        <w:t>онд заработной платы, предусмотренный утвержденной тарифной сметой, освоен в полном объеме. За 2016 год фактическая численность персонала АО «СЕВКАЗЭНЕРГО» по производству тепловой энергии составила 225 человек при утвержденно</w:t>
      </w:r>
      <w:r w:rsidR="006B29F0">
        <w:rPr>
          <w:kern w:val="2"/>
          <w:sz w:val="22"/>
          <w:szCs w:val="22"/>
        </w:rPr>
        <w:t>й уполномоченным органом норме</w:t>
      </w:r>
      <w:r w:rsidR="00CA50E7" w:rsidRPr="00780E64">
        <w:rPr>
          <w:kern w:val="2"/>
          <w:sz w:val="22"/>
          <w:szCs w:val="22"/>
        </w:rPr>
        <w:t xml:space="preserve"> 292 человек</w:t>
      </w:r>
      <w:r w:rsidR="006B29F0">
        <w:rPr>
          <w:kern w:val="2"/>
          <w:sz w:val="22"/>
          <w:szCs w:val="22"/>
        </w:rPr>
        <w:t>а</w:t>
      </w:r>
      <w:r w:rsidR="00CA50E7" w:rsidRPr="00780E64">
        <w:rPr>
          <w:kern w:val="2"/>
          <w:sz w:val="22"/>
          <w:szCs w:val="22"/>
        </w:rPr>
        <w:t xml:space="preserve">. Фактическая среднемесячная заработная плата сложилась в размере 134 379 тенге, что на 88% или на 62842 тенге выше предусмотренной в действующем тарифе суммы в размере 71 537 тенге. </w:t>
      </w:r>
      <w:r w:rsidR="006B29F0">
        <w:rPr>
          <w:kern w:val="2"/>
          <w:sz w:val="22"/>
          <w:szCs w:val="22"/>
        </w:rPr>
        <w:t>В</w:t>
      </w:r>
      <w:r w:rsidR="00CA50E7" w:rsidRPr="00780E64">
        <w:rPr>
          <w:kern w:val="2"/>
          <w:sz w:val="22"/>
          <w:szCs w:val="22"/>
        </w:rPr>
        <w:t>о избежание массового оттока квалифициров</w:t>
      </w:r>
      <w:r w:rsidR="006B29F0">
        <w:rPr>
          <w:kern w:val="2"/>
          <w:sz w:val="22"/>
          <w:szCs w:val="22"/>
        </w:rPr>
        <w:t>анных специалистов по причине</w:t>
      </w:r>
      <w:r w:rsidR="00CA50E7" w:rsidRPr="00780E64">
        <w:rPr>
          <w:kern w:val="2"/>
          <w:sz w:val="22"/>
          <w:szCs w:val="22"/>
        </w:rPr>
        <w:t xml:space="preserve"> крайне низкого уровня</w:t>
      </w:r>
      <w:r w:rsidR="006B29F0">
        <w:rPr>
          <w:kern w:val="2"/>
          <w:sz w:val="22"/>
          <w:szCs w:val="22"/>
        </w:rPr>
        <w:t xml:space="preserve"> заработной платы</w:t>
      </w:r>
      <w:r w:rsidR="00CA50E7" w:rsidRPr="00780E64">
        <w:rPr>
          <w:kern w:val="2"/>
          <w:sz w:val="22"/>
          <w:szCs w:val="22"/>
        </w:rPr>
        <w:t xml:space="preserve"> руководством предприятия дополнительно было направлено на оплату тр</w:t>
      </w:r>
      <w:r w:rsidR="006B29F0">
        <w:rPr>
          <w:kern w:val="2"/>
          <w:sz w:val="22"/>
          <w:szCs w:val="22"/>
        </w:rPr>
        <w:t xml:space="preserve">уда более 139 </w:t>
      </w:r>
      <w:proofErr w:type="gramStart"/>
      <w:r w:rsidR="006B29F0">
        <w:rPr>
          <w:kern w:val="2"/>
          <w:sz w:val="22"/>
          <w:szCs w:val="22"/>
        </w:rPr>
        <w:t>млн</w:t>
      </w:r>
      <w:proofErr w:type="gramEnd"/>
      <w:r w:rsidR="00CA50E7" w:rsidRPr="00780E64">
        <w:rPr>
          <w:kern w:val="2"/>
          <w:sz w:val="22"/>
          <w:szCs w:val="22"/>
        </w:rPr>
        <w:t xml:space="preserve"> тенге.</w:t>
      </w:r>
    </w:p>
    <w:p w:rsidR="00CA50E7" w:rsidRPr="00780E64" w:rsidRDefault="00CA50E7" w:rsidP="00CA50E7">
      <w:pPr>
        <w:ind w:firstLine="567"/>
        <w:jc w:val="both"/>
        <w:rPr>
          <w:b/>
          <w:kern w:val="2"/>
          <w:sz w:val="22"/>
          <w:szCs w:val="22"/>
        </w:rPr>
      </w:pPr>
      <w:r w:rsidRPr="00780E64">
        <w:rPr>
          <w:b/>
          <w:kern w:val="2"/>
          <w:sz w:val="22"/>
          <w:szCs w:val="22"/>
        </w:rPr>
        <w:t>План развития предприятия в 2017 году.</w:t>
      </w:r>
    </w:p>
    <w:p w:rsidR="00CA50E7" w:rsidRPr="00780E64" w:rsidRDefault="00CA50E7" w:rsidP="00CA50E7">
      <w:pPr>
        <w:ind w:firstLine="567"/>
        <w:jc w:val="both"/>
        <w:rPr>
          <w:kern w:val="2"/>
          <w:sz w:val="22"/>
          <w:szCs w:val="22"/>
        </w:rPr>
      </w:pPr>
      <w:r w:rsidRPr="00780E64">
        <w:rPr>
          <w:kern w:val="2"/>
          <w:sz w:val="22"/>
          <w:szCs w:val="22"/>
        </w:rPr>
        <w:t>В соответствии с внесением изменений в Закон РК «О естественных монополиях» от 9 июля 1998 года № 2</w:t>
      </w:r>
      <w:r w:rsidR="008A3E33">
        <w:rPr>
          <w:kern w:val="2"/>
          <w:sz w:val="22"/>
          <w:szCs w:val="22"/>
        </w:rPr>
        <w:t>7</w:t>
      </w:r>
      <w:r w:rsidR="006B29F0">
        <w:rPr>
          <w:kern w:val="2"/>
          <w:sz w:val="22"/>
          <w:szCs w:val="22"/>
        </w:rPr>
        <w:t>2-I</w:t>
      </w:r>
      <w:r w:rsidRPr="00780E64">
        <w:rPr>
          <w:kern w:val="2"/>
          <w:sz w:val="22"/>
          <w:szCs w:val="22"/>
        </w:rPr>
        <w:t xml:space="preserve"> субъект естественной монополии работа</w:t>
      </w:r>
      <w:r w:rsidR="00780E64" w:rsidRPr="00780E64">
        <w:rPr>
          <w:kern w:val="2"/>
          <w:sz w:val="22"/>
          <w:szCs w:val="22"/>
        </w:rPr>
        <w:t>е</w:t>
      </w:r>
      <w:r w:rsidRPr="00780E64">
        <w:rPr>
          <w:kern w:val="2"/>
          <w:sz w:val="22"/>
          <w:szCs w:val="22"/>
        </w:rPr>
        <w:t>т по предельным тарифам. В связи с этим РГУ «ДКРЕМ и ЗК МНЭ РК по СКО» 24 ноября 2015 года введен в действие приказ 152-ОД « Об утверждении предельного уровня тарифа и тарифной сметы на услугу по производству тепловой энергии АО «СЕВКАЗЭНЕРГО» на долгосрочный период с 1 января 2016 года по 31 декабря 2020 года».</w:t>
      </w:r>
    </w:p>
    <w:p w:rsidR="00CA50E7" w:rsidRPr="00780E64" w:rsidRDefault="00CA50E7" w:rsidP="00CA50E7">
      <w:pPr>
        <w:ind w:firstLine="567"/>
        <w:jc w:val="both"/>
        <w:rPr>
          <w:kern w:val="2"/>
          <w:sz w:val="22"/>
          <w:szCs w:val="22"/>
        </w:rPr>
      </w:pPr>
      <w:r w:rsidRPr="00780E64">
        <w:rPr>
          <w:kern w:val="2"/>
          <w:sz w:val="22"/>
          <w:szCs w:val="22"/>
        </w:rPr>
        <w:t>В 2017 году предприятие планирует направить на ремонт, модернизацию и реконструкцию осн</w:t>
      </w:r>
      <w:r w:rsidR="006B29F0">
        <w:rPr>
          <w:kern w:val="2"/>
          <w:sz w:val="22"/>
          <w:szCs w:val="22"/>
        </w:rPr>
        <w:t xml:space="preserve">овных средств около 5 569,3 </w:t>
      </w:r>
      <w:proofErr w:type="gramStart"/>
      <w:r w:rsidR="006B29F0">
        <w:rPr>
          <w:kern w:val="2"/>
          <w:sz w:val="22"/>
          <w:szCs w:val="22"/>
        </w:rPr>
        <w:t>млн</w:t>
      </w:r>
      <w:proofErr w:type="gramEnd"/>
      <w:r w:rsidR="006B29F0">
        <w:rPr>
          <w:kern w:val="2"/>
          <w:sz w:val="22"/>
          <w:szCs w:val="22"/>
        </w:rPr>
        <w:t xml:space="preserve"> </w:t>
      </w:r>
      <w:r w:rsidRPr="00780E64">
        <w:rPr>
          <w:kern w:val="2"/>
          <w:sz w:val="22"/>
          <w:szCs w:val="22"/>
        </w:rPr>
        <w:t>тенге, основными мероприятиями которых являются: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- </w:t>
      </w:r>
      <w:r w:rsidR="00CA50E7" w:rsidRPr="00780E64">
        <w:rPr>
          <w:kern w:val="2"/>
          <w:sz w:val="22"/>
          <w:szCs w:val="22"/>
        </w:rPr>
        <w:t>реконструкция схемы выдачи тепловой мощности Петропавловской ТЭЦ-2;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- </w:t>
      </w:r>
      <w:r w:rsidR="00CA50E7" w:rsidRPr="00780E64">
        <w:rPr>
          <w:kern w:val="2"/>
          <w:sz w:val="22"/>
          <w:szCs w:val="22"/>
        </w:rPr>
        <w:t>энергосберегающие мероприятия;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реконструкция турбоагрегата</w:t>
      </w:r>
      <w:r w:rsidR="00CA50E7" w:rsidRPr="00780E64">
        <w:rPr>
          <w:kern w:val="2"/>
          <w:sz w:val="22"/>
          <w:szCs w:val="22"/>
        </w:rPr>
        <w:t xml:space="preserve"> № 2, ОРУ-110кВ, разгрузочного устройства;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 xml:space="preserve">- капитальный ремонт </w:t>
      </w:r>
      <w:proofErr w:type="spellStart"/>
      <w:r>
        <w:rPr>
          <w:kern w:val="2"/>
          <w:sz w:val="22"/>
          <w:szCs w:val="22"/>
        </w:rPr>
        <w:t>котлоагрегатов</w:t>
      </w:r>
      <w:proofErr w:type="spellEnd"/>
      <w:r>
        <w:rPr>
          <w:kern w:val="2"/>
          <w:sz w:val="22"/>
          <w:szCs w:val="22"/>
        </w:rPr>
        <w:t xml:space="preserve"> № 4, 5, 10 и турбоагрегата</w:t>
      </w:r>
      <w:r w:rsidR="00CA50E7" w:rsidRPr="00780E64">
        <w:rPr>
          <w:kern w:val="2"/>
          <w:sz w:val="22"/>
          <w:szCs w:val="22"/>
        </w:rPr>
        <w:t xml:space="preserve"> № 4;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- текущий ремонт</w:t>
      </w:r>
      <w:r w:rsidR="00CA50E7" w:rsidRPr="00780E64">
        <w:rPr>
          <w:kern w:val="2"/>
          <w:sz w:val="22"/>
          <w:szCs w:val="22"/>
        </w:rPr>
        <w:t xml:space="preserve"> основного и вспомогательного оборудования.</w:t>
      </w:r>
    </w:p>
    <w:p w:rsidR="00CA50E7" w:rsidRPr="00780E64" w:rsidRDefault="006B29F0" w:rsidP="00CA50E7">
      <w:pPr>
        <w:ind w:firstLine="567"/>
        <w:jc w:val="both"/>
        <w:rPr>
          <w:kern w:val="2"/>
          <w:sz w:val="22"/>
          <w:szCs w:val="22"/>
        </w:rPr>
      </w:pPr>
      <w:r>
        <w:rPr>
          <w:kern w:val="2"/>
          <w:sz w:val="22"/>
          <w:szCs w:val="22"/>
        </w:rPr>
        <w:t>Выполнение мероприятий,</w:t>
      </w:r>
      <w:r w:rsidR="00CA50E7" w:rsidRPr="00780E64">
        <w:rPr>
          <w:kern w:val="2"/>
          <w:sz w:val="22"/>
          <w:szCs w:val="22"/>
        </w:rPr>
        <w:t xml:space="preserve"> запланированных на 2017 год по ремонт</w:t>
      </w:r>
      <w:r w:rsidR="00210D5B">
        <w:rPr>
          <w:kern w:val="2"/>
          <w:sz w:val="22"/>
          <w:szCs w:val="22"/>
        </w:rPr>
        <w:t>у</w:t>
      </w:r>
      <w:r w:rsidR="00CA50E7" w:rsidRPr="00780E64">
        <w:rPr>
          <w:kern w:val="2"/>
          <w:sz w:val="22"/>
          <w:szCs w:val="22"/>
        </w:rPr>
        <w:t>, реконструкции и модернизации основных средств, будет способствовать увеличению объема производства электрической и тепловой энергии, снижению рисков аварийности и исключени</w:t>
      </w:r>
      <w:r w:rsidR="00210D5B">
        <w:rPr>
          <w:kern w:val="2"/>
          <w:sz w:val="22"/>
          <w:szCs w:val="22"/>
        </w:rPr>
        <w:t>ю</w:t>
      </w:r>
      <w:r w:rsidR="00CA50E7" w:rsidRPr="00780E64">
        <w:rPr>
          <w:kern w:val="2"/>
          <w:sz w:val="22"/>
          <w:szCs w:val="22"/>
        </w:rPr>
        <w:t xml:space="preserve"> простоев, позволит увеличить надежность оборудования, сократить количество вредных выбросов в окружающую среду, повысит технический уровень производства.</w:t>
      </w:r>
    </w:p>
    <w:p w:rsidR="00C13382" w:rsidRPr="00780E64" w:rsidRDefault="00C13382" w:rsidP="00733542">
      <w:pPr>
        <w:ind w:firstLine="567"/>
        <w:jc w:val="both"/>
        <w:rPr>
          <w:kern w:val="2"/>
          <w:sz w:val="22"/>
          <w:szCs w:val="22"/>
        </w:rPr>
      </w:pPr>
    </w:p>
    <w:p w:rsidR="001C2816" w:rsidRPr="00780E64" w:rsidRDefault="001C2816" w:rsidP="001C2816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780E64">
        <w:rPr>
          <w:b/>
          <w:bCs/>
          <w:i/>
          <w:sz w:val="22"/>
          <w:szCs w:val="22"/>
          <w:shd w:val="clear" w:color="auto" w:fill="FFFFFF"/>
        </w:rPr>
        <w:t xml:space="preserve">Планово-экономический отдел </w:t>
      </w:r>
    </w:p>
    <w:p w:rsidR="001C2816" w:rsidRPr="00780E64" w:rsidRDefault="001C2816" w:rsidP="001C2816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780E64">
        <w:rPr>
          <w:b/>
          <w:bCs/>
          <w:i/>
          <w:sz w:val="22"/>
          <w:szCs w:val="22"/>
          <w:shd w:val="clear" w:color="auto" w:fill="FFFFFF"/>
        </w:rPr>
        <w:t>Петропавловской ТЭЦ-2 АО «СЕВКАЗЭНЕРГО»,</w:t>
      </w:r>
    </w:p>
    <w:p w:rsidR="001C2816" w:rsidRPr="00780E64" w:rsidRDefault="001C2816" w:rsidP="001C2816">
      <w:pPr>
        <w:contextualSpacing/>
        <w:rPr>
          <w:b/>
          <w:bCs/>
          <w:i/>
          <w:sz w:val="22"/>
          <w:szCs w:val="22"/>
          <w:shd w:val="clear" w:color="auto" w:fill="FFFFFF"/>
        </w:rPr>
      </w:pPr>
      <w:r w:rsidRPr="00780E64">
        <w:rPr>
          <w:b/>
          <w:bCs/>
          <w:i/>
          <w:sz w:val="22"/>
          <w:szCs w:val="22"/>
          <w:shd w:val="clear" w:color="auto" w:fill="FFFFFF"/>
        </w:rPr>
        <w:t>тел: 8 (7152) 52-02-68</w:t>
      </w:r>
    </w:p>
    <w:p w:rsidR="00E82C79" w:rsidRPr="00780E64" w:rsidRDefault="00E82C79" w:rsidP="006771C8">
      <w:pPr>
        <w:ind w:left="-142" w:firstLine="567"/>
        <w:jc w:val="center"/>
        <w:rPr>
          <w:noProof/>
          <w:sz w:val="22"/>
          <w:szCs w:val="22"/>
        </w:rPr>
      </w:pPr>
    </w:p>
    <w:sectPr w:rsidR="00E82C79" w:rsidRPr="00780E64" w:rsidSect="007C336C">
      <w:pgSz w:w="11906" w:h="16838" w:code="9"/>
      <w:pgMar w:top="851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55E" w:rsidRDefault="00AE155E">
      <w:r>
        <w:separator/>
      </w:r>
    </w:p>
  </w:endnote>
  <w:endnote w:type="continuationSeparator" w:id="0">
    <w:p w:rsidR="00AE155E" w:rsidRDefault="00AE1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55E" w:rsidRDefault="00AE155E">
      <w:r>
        <w:separator/>
      </w:r>
    </w:p>
  </w:footnote>
  <w:footnote w:type="continuationSeparator" w:id="0">
    <w:p w:rsidR="00AE155E" w:rsidRDefault="00AE1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11F03"/>
    <w:multiLevelType w:val="hybridMultilevel"/>
    <w:tmpl w:val="9D9ACA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10D49"/>
    <w:multiLevelType w:val="hybridMultilevel"/>
    <w:tmpl w:val="BB6CB35C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9177981"/>
    <w:multiLevelType w:val="hybridMultilevel"/>
    <w:tmpl w:val="3B1852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1F0C21"/>
    <w:multiLevelType w:val="hybridMultilevel"/>
    <w:tmpl w:val="0ACA50F2"/>
    <w:lvl w:ilvl="0" w:tplc="0419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6B282AAE"/>
    <w:multiLevelType w:val="hybridMultilevel"/>
    <w:tmpl w:val="056C547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7E1839D3"/>
    <w:multiLevelType w:val="hybridMultilevel"/>
    <w:tmpl w:val="C18E1D0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645"/>
    <w:rsid w:val="00002DA5"/>
    <w:rsid w:val="00022567"/>
    <w:rsid w:val="00031D9F"/>
    <w:rsid w:val="000518D9"/>
    <w:rsid w:val="00053480"/>
    <w:rsid w:val="000537DE"/>
    <w:rsid w:val="00054BFB"/>
    <w:rsid w:val="000550B7"/>
    <w:rsid w:val="00060AF8"/>
    <w:rsid w:val="00063E7C"/>
    <w:rsid w:val="00072644"/>
    <w:rsid w:val="000A5A34"/>
    <w:rsid w:val="000B193F"/>
    <w:rsid w:val="000B3100"/>
    <w:rsid w:val="000C2EE2"/>
    <w:rsid w:val="000D74F7"/>
    <w:rsid w:val="000F1E7B"/>
    <w:rsid w:val="00112530"/>
    <w:rsid w:val="00113BED"/>
    <w:rsid w:val="00116FDE"/>
    <w:rsid w:val="00141D55"/>
    <w:rsid w:val="001516E5"/>
    <w:rsid w:val="0018384E"/>
    <w:rsid w:val="001A5A26"/>
    <w:rsid w:val="001B1F94"/>
    <w:rsid w:val="001C2816"/>
    <w:rsid w:val="001D1907"/>
    <w:rsid w:val="001F1C52"/>
    <w:rsid w:val="001F2897"/>
    <w:rsid w:val="0020079D"/>
    <w:rsid w:val="00210D5B"/>
    <w:rsid w:val="00222451"/>
    <w:rsid w:val="00236433"/>
    <w:rsid w:val="00247828"/>
    <w:rsid w:val="00274402"/>
    <w:rsid w:val="00283438"/>
    <w:rsid w:val="00287938"/>
    <w:rsid w:val="002A5133"/>
    <w:rsid w:val="002A726C"/>
    <w:rsid w:val="002B4A78"/>
    <w:rsid w:val="002B6767"/>
    <w:rsid w:val="002C06E6"/>
    <w:rsid w:val="002C1F53"/>
    <w:rsid w:val="002D50B9"/>
    <w:rsid w:val="002D51F7"/>
    <w:rsid w:val="00310B28"/>
    <w:rsid w:val="00324432"/>
    <w:rsid w:val="00326A8A"/>
    <w:rsid w:val="003522DE"/>
    <w:rsid w:val="003630FB"/>
    <w:rsid w:val="00367F58"/>
    <w:rsid w:val="0038560D"/>
    <w:rsid w:val="003C3F07"/>
    <w:rsid w:val="003C507F"/>
    <w:rsid w:val="003D09C5"/>
    <w:rsid w:val="003D19DB"/>
    <w:rsid w:val="003E791A"/>
    <w:rsid w:val="003F029F"/>
    <w:rsid w:val="003F4A49"/>
    <w:rsid w:val="004040BE"/>
    <w:rsid w:val="004076E1"/>
    <w:rsid w:val="00410350"/>
    <w:rsid w:val="004205AF"/>
    <w:rsid w:val="0043653F"/>
    <w:rsid w:val="00437694"/>
    <w:rsid w:val="00467BB3"/>
    <w:rsid w:val="004A0CBE"/>
    <w:rsid w:val="004A41B6"/>
    <w:rsid w:val="004A68F7"/>
    <w:rsid w:val="004B10A6"/>
    <w:rsid w:val="004B2FE9"/>
    <w:rsid w:val="0050041F"/>
    <w:rsid w:val="005149DB"/>
    <w:rsid w:val="0051569F"/>
    <w:rsid w:val="005214D5"/>
    <w:rsid w:val="00522900"/>
    <w:rsid w:val="00522A2B"/>
    <w:rsid w:val="00524017"/>
    <w:rsid w:val="0052720C"/>
    <w:rsid w:val="005277A1"/>
    <w:rsid w:val="00533E9D"/>
    <w:rsid w:val="00536D94"/>
    <w:rsid w:val="00544DC8"/>
    <w:rsid w:val="00552848"/>
    <w:rsid w:val="00573EA1"/>
    <w:rsid w:val="005802A7"/>
    <w:rsid w:val="005901EF"/>
    <w:rsid w:val="00597736"/>
    <w:rsid w:val="005C1AA1"/>
    <w:rsid w:val="005D7969"/>
    <w:rsid w:val="005F245A"/>
    <w:rsid w:val="005F718D"/>
    <w:rsid w:val="006000A6"/>
    <w:rsid w:val="00601B27"/>
    <w:rsid w:val="00603FCA"/>
    <w:rsid w:val="0062352F"/>
    <w:rsid w:val="006301BC"/>
    <w:rsid w:val="006379F5"/>
    <w:rsid w:val="0066716D"/>
    <w:rsid w:val="00674E28"/>
    <w:rsid w:val="006771C8"/>
    <w:rsid w:val="0069324A"/>
    <w:rsid w:val="006A45CA"/>
    <w:rsid w:val="006B29F0"/>
    <w:rsid w:val="006B72E5"/>
    <w:rsid w:val="006B7CCB"/>
    <w:rsid w:val="006C31CA"/>
    <w:rsid w:val="006D0B82"/>
    <w:rsid w:val="006D43B1"/>
    <w:rsid w:val="006E14A3"/>
    <w:rsid w:val="006E49A5"/>
    <w:rsid w:val="006F597C"/>
    <w:rsid w:val="006F6974"/>
    <w:rsid w:val="0071124D"/>
    <w:rsid w:val="00732631"/>
    <w:rsid w:val="00733542"/>
    <w:rsid w:val="0073503D"/>
    <w:rsid w:val="0073589D"/>
    <w:rsid w:val="0075321B"/>
    <w:rsid w:val="00780E64"/>
    <w:rsid w:val="007915A6"/>
    <w:rsid w:val="007B42BD"/>
    <w:rsid w:val="007B475E"/>
    <w:rsid w:val="007C336C"/>
    <w:rsid w:val="007D1919"/>
    <w:rsid w:val="007E0B92"/>
    <w:rsid w:val="00817EE7"/>
    <w:rsid w:val="00821665"/>
    <w:rsid w:val="00825020"/>
    <w:rsid w:val="008417E4"/>
    <w:rsid w:val="00853EA5"/>
    <w:rsid w:val="00854CAB"/>
    <w:rsid w:val="008735C3"/>
    <w:rsid w:val="00875027"/>
    <w:rsid w:val="008A3E33"/>
    <w:rsid w:val="008A4EE4"/>
    <w:rsid w:val="008D041B"/>
    <w:rsid w:val="008D0EE2"/>
    <w:rsid w:val="008D2C00"/>
    <w:rsid w:val="008D5559"/>
    <w:rsid w:val="008E4C08"/>
    <w:rsid w:val="008F74C5"/>
    <w:rsid w:val="008F7A03"/>
    <w:rsid w:val="009172B3"/>
    <w:rsid w:val="009215ED"/>
    <w:rsid w:val="00922BA4"/>
    <w:rsid w:val="009275A7"/>
    <w:rsid w:val="00937838"/>
    <w:rsid w:val="009416D0"/>
    <w:rsid w:val="009530AE"/>
    <w:rsid w:val="0096752B"/>
    <w:rsid w:val="00971A37"/>
    <w:rsid w:val="009856CA"/>
    <w:rsid w:val="009A7889"/>
    <w:rsid w:val="009C0F10"/>
    <w:rsid w:val="009C6814"/>
    <w:rsid w:val="009D33D3"/>
    <w:rsid w:val="009D343B"/>
    <w:rsid w:val="009E1B28"/>
    <w:rsid w:val="009F2F41"/>
    <w:rsid w:val="00A070A6"/>
    <w:rsid w:val="00A16D78"/>
    <w:rsid w:val="00A17CA7"/>
    <w:rsid w:val="00A26A59"/>
    <w:rsid w:val="00A309C3"/>
    <w:rsid w:val="00A411D9"/>
    <w:rsid w:val="00A42C9C"/>
    <w:rsid w:val="00A468FD"/>
    <w:rsid w:val="00A63862"/>
    <w:rsid w:val="00A65788"/>
    <w:rsid w:val="00A92B40"/>
    <w:rsid w:val="00AB606D"/>
    <w:rsid w:val="00AC52BB"/>
    <w:rsid w:val="00AD0BD0"/>
    <w:rsid w:val="00AE0733"/>
    <w:rsid w:val="00AE121D"/>
    <w:rsid w:val="00AE155E"/>
    <w:rsid w:val="00AE3724"/>
    <w:rsid w:val="00AE4CC1"/>
    <w:rsid w:val="00B12243"/>
    <w:rsid w:val="00B14596"/>
    <w:rsid w:val="00B16C9A"/>
    <w:rsid w:val="00B23F4E"/>
    <w:rsid w:val="00B266CE"/>
    <w:rsid w:val="00B50FDA"/>
    <w:rsid w:val="00B518AE"/>
    <w:rsid w:val="00B63761"/>
    <w:rsid w:val="00B73A9E"/>
    <w:rsid w:val="00B779CE"/>
    <w:rsid w:val="00B80D4B"/>
    <w:rsid w:val="00B81F4B"/>
    <w:rsid w:val="00B82B3E"/>
    <w:rsid w:val="00BA7750"/>
    <w:rsid w:val="00BC5951"/>
    <w:rsid w:val="00BC7F0D"/>
    <w:rsid w:val="00BD1E9D"/>
    <w:rsid w:val="00BF2887"/>
    <w:rsid w:val="00BF7C80"/>
    <w:rsid w:val="00C0362C"/>
    <w:rsid w:val="00C13382"/>
    <w:rsid w:val="00C2543D"/>
    <w:rsid w:val="00C31C12"/>
    <w:rsid w:val="00C349CF"/>
    <w:rsid w:val="00C3588E"/>
    <w:rsid w:val="00C40410"/>
    <w:rsid w:val="00C50645"/>
    <w:rsid w:val="00C60B5E"/>
    <w:rsid w:val="00C6326B"/>
    <w:rsid w:val="00C831B5"/>
    <w:rsid w:val="00C93679"/>
    <w:rsid w:val="00CA50E7"/>
    <w:rsid w:val="00CD20EA"/>
    <w:rsid w:val="00CE2041"/>
    <w:rsid w:val="00CE2525"/>
    <w:rsid w:val="00D03D43"/>
    <w:rsid w:val="00D04388"/>
    <w:rsid w:val="00D1108F"/>
    <w:rsid w:val="00D222AC"/>
    <w:rsid w:val="00D30B49"/>
    <w:rsid w:val="00D377EA"/>
    <w:rsid w:val="00D42C09"/>
    <w:rsid w:val="00D621CB"/>
    <w:rsid w:val="00D65CB8"/>
    <w:rsid w:val="00D759C9"/>
    <w:rsid w:val="00D81184"/>
    <w:rsid w:val="00D94EED"/>
    <w:rsid w:val="00DB5F86"/>
    <w:rsid w:val="00DE1A21"/>
    <w:rsid w:val="00E130DB"/>
    <w:rsid w:val="00E27EEA"/>
    <w:rsid w:val="00E34C2D"/>
    <w:rsid w:val="00E57BC5"/>
    <w:rsid w:val="00E60DED"/>
    <w:rsid w:val="00E75916"/>
    <w:rsid w:val="00E75F9C"/>
    <w:rsid w:val="00E82C79"/>
    <w:rsid w:val="00EA3DAD"/>
    <w:rsid w:val="00EC30FF"/>
    <w:rsid w:val="00ED6DF8"/>
    <w:rsid w:val="00EE648B"/>
    <w:rsid w:val="00EF11E4"/>
    <w:rsid w:val="00EF644A"/>
    <w:rsid w:val="00F0376D"/>
    <w:rsid w:val="00F13FFB"/>
    <w:rsid w:val="00F32CC0"/>
    <w:rsid w:val="00F47C7D"/>
    <w:rsid w:val="00F52153"/>
    <w:rsid w:val="00F64CBC"/>
    <w:rsid w:val="00F8514C"/>
    <w:rsid w:val="00F92357"/>
    <w:rsid w:val="00FA0566"/>
    <w:rsid w:val="00FB3450"/>
    <w:rsid w:val="00FE5A6D"/>
    <w:rsid w:val="00FF3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C50645"/>
    <w:pPr>
      <w:spacing w:line="360" w:lineRule="auto"/>
      <w:jc w:val="both"/>
    </w:pPr>
  </w:style>
  <w:style w:type="table" w:styleId="a3">
    <w:name w:val="Table Grid"/>
    <w:basedOn w:val="a1"/>
    <w:rsid w:val="00C50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Table Web 3"/>
    <w:basedOn w:val="a1"/>
    <w:rsid w:val="009530AE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Body Text"/>
    <w:basedOn w:val="a"/>
    <w:rsid w:val="00437694"/>
    <w:pPr>
      <w:spacing w:after="120"/>
    </w:pPr>
  </w:style>
  <w:style w:type="paragraph" w:styleId="a5">
    <w:name w:val="footer"/>
    <w:basedOn w:val="a"/>
    <w:rsid w:val="00C60B5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60B5E"/>
  </w:style>
  <w:style w:type="paragraph" w:styleId="a7">
    <w:name w:val="header"/>
    <w:basedOn w:val="a"/>
    <w:rsid w:val="00C60B5E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73503D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rsid w:val="00E34C2D"/>
    <w:pPr>
      <w:spacing w:after="120" w:line="480" w:lineRule="auto"/>
      <w:ind w:left="283"/>
    </w:pPr>
  </w:style>
  <w:style w:type="paragraph" w:styleId="a9">
    <w:name w:val="Document Map"/>
    <w:basedOn w:val="a"/>
    <w:semiHidden/>
    <w:rsid w:val="005F718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ec-backup\docs\tec-nachpeo\&#1041;&#1102;&#1076;&#1078;&#1077;&#1090;%202017\&#1055;&#1091;&#1073;&#1083;&#1080;&#1095;&#1085;&#1099;&#1077;%20&#1089;&#1083;&#1091;&#1096;&#1072;&#1085;&#1080;&#1103;%20&#1079;&#1072;%202016%20&#1075;&#1086;&#1076;\&#1043;&#1088;&#1072;&#1092;&#1080;&#1082;&#108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i="0" baseline="0"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Выполнение ремонтов и инвестиционных программ по реконструкции и техперевооружению основных средств, млн тенге</a:t>
            </a:r>
            <a:endParaRPr lang="ru-RU" sz="1100">
              <a:effectLst/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4321741032370953E-2"/>
          <c:y val="0.19076614663860023"/>
          <c:w val="0.93320734908136482"/>
          <c:h val="0.65718425696080418"/>
        </c:manualLayout>
      </c:layout>
      <c:bar3DChart>
        <c:barDir val="col"/>
        <c:grouping val="clustered"/>
        <c:varyColors val="0"/>
        <c:ser>
          <c:idx val="1"/>
          <c:order val="0"/>
          <c:tx>
            <c:strRef>
              <c:f>инвестиции!$B$4</c:f>
              <c:strCache>
                <c:ptCount val="1"/>
                <c:pt idx="0">
                  <c:v>Инвестиционная программа</c:v>
                </c:pt>
              </c:strCache>
            </c:strRef>
          </c:tx>
          <c:spPr>
            <a:solidFill>
              <a:srgbClr val="0558FF"/>
            </a:solidFill>
          </c:spPr>
          <c:invertIfNegative val="0"/>
          <c:dLbls>
            <c:dLbl>
              <c:idx val="0"/>
              <c:layout>
                <c:manualLayout>
                  <c:x val="3.0555555555555582E-2"/>
                  <c:y val="-3.02800884337532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171E-2"/>
                  <c:y val="-2.82614158715030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4999881353277735E-2"/>
                  <c:y val="-3.0328268108246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9166666666666768E-2"/>
                  <c:y val="-2.01867256225021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инвестиции!$C$2:$F$2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инвестиции!$C$4:$F$4</c:f>
              <c:numCache>
                <c:formatCode>General</c:formatCode>
                <c:ptCount val="4"/>
                <c:pt idx="0">
                  <c:v>6253</c:v>
                </c:pt>
                <c:pt idx="1">
                  <c:v>6582</c:v>
                </c:pt>
                <c:pt idx="2">
                  <c:v>8221</c:v>
                </c:pt>
                <c:pt idx="3">
                  <c:v>5482</c:v>
                </c:pt>
              </c:numCache>
            </c:numRef>
          </c:val>
        </c:ser>
        <c:ser>
          <c:idx val="0"/>
          <c:order val="1"/>
          <c:tx>
            <c:strRef>
              <c:f>инвестиции!$B$3</c:f>
              <c:strCache>
                <c:ptCount val="1"/>
                <c:pt idx="0">
                  <c:v>Ремонтный фонд</c:v>
                </c:pt>
              </c:strCache>
            </c:strRef>
          </c:tx>
          <c:spPr>
            <a:solidFill>
              <a:srgbClr val="FF3300"/>
            </a:solidFill>
          </c:spPr>
          <c:invertIfNegative val="0"/>
          <c:dLbls>
            <c:dLbl>
              <c:idx val="0"/>
              <c:layout>
                <c:manualLayout>
                  <c:x val="3.1944444444444442E-2"/>
                  <c:y val="-2.22053981847524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2222222222222223E-2"/>
                  <c:y val="-1.8168053060251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9444444444444445E-2"/>
                  <c:y val="-1.6149380498001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4722222222222224E-2"/>
                  <c:y val="-1.81680530602518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100" b="1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инвестиции!$C$2:$F$2</c:f>
              <c:strCache>
                <c:ptCount val="4"/>
                <c:pt idx="0">
                  <c:v>2013 год</c:v>
                </c:pt>
                <c:pt idx="1">
                  <c:v>2014 год</c:v>
                </c:pt>
                <c:pt idx="2">
                  <c:v>2015 год</c:v>
                </c:pt>
                <c:pt idx="3">
                  <c:v>2016 год</c:v>
                </c:pt>
              </c:strCache>
            </c:strRef>
          </c:cat>
          <c:val>
            <c:numRef>
              <c:f>инвестиции!$C$3:$F$3</c:f>
              <c:numCache>
                <c:formatCode>General</c:formatCode>
                <c:ptCount val="4"/>
                <c:pt idx="0">
                  <c:v>1102</c:v>
                </c:pt>
                <c:pt idx="1">
                  <c:v>1187</c:v>
                </c:pt>
                <c:pt idx="2">
                  <c:v>1202</c:v>
                </c:pt>
                <c:pt idx="3">
                  <c:v>1355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2"/>
        <c:shape val="box"/>
        <c:axId val="11704192"/>
        <c:axId val="11705728"/>
        <c:axId val="0"/>
      </c:bar3DChart>
      <c:catAx>
        <c:axId val="11704192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5728"/>
        <c:crosses val="autoZero"/>
        <c:auto val="1"/>
        <c:lblAlgn val="ctr"/>
        <c:lblOffset val="100"/>
        <c:noMultiLvlLbl val="0"/>
      </c:catAx>
      <c:valAx>
        <c:axId val="11705728"/>
        <c:scaling>
          <c:orientation val="minMax"/>
          <c:max val="9000"/>
          <c:min val="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10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1704192"/>
        <c:crosses val="autoZero"/>
        <c:crossBetween val="between"/>
        <c:majorUnit val="2000"/>
      </c:valAx>
    </c:plotArea>
    <c:legend>
      <c:legendPos val="r"/>
      <c:layout>
        <c:manualLayout>
          <c:xMode val="edge"/>
          <c:yMode val="edge"/>
          <c:x val="0"/>
          <c:y val="0.923269143254701"/>
          <c:w val="0.99858202099737536"/>
          <c:h val="7.5125932583012353E-2"/>
        </c:manualLayout>
      </c:layout>
      <c:overlay val="0"/>
      <c:txPr>
        <a:bodyPr/>
        <a:lstStyle/>
        <a:p>
          <a:pPr>
            <a:defRPr sz="10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80181-6DDD-42CE-9E53-290DDB75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2748</Words>
  <Characters>15666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Аксесс Энерго СКРЭК</Company>
  <LinksUpToDate>false</LinksUpToDate>
  <CharactersWithSpaces>18378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skr-nachpeo</dc:creator>
  <cp:keywords/>
  <dc:description/>
  <cp:lastModifiedBy>Агеев Андрей Михайлович</cp:lastModifiedBy>
  <cp:revision>2</cp:revision>
  <cp:lastPrinted>2017-03-24T12:17:00Z</cp:lastPrinted>
  <dcterms:created xsi:type="dcterms:W3CDTF">2017-03-27T05:55:00Z</dcterms:created>
  <dcterms:modified xsi:type="dcterms:W3CDTF">2017-03-27T05:55:00Z</dcterms:modified>
</cp:coreProperties>
</file>