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55066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  <w:lang w:eastAsia="ru-RU"/>
              </w:rPr>
              <w:t>Работы</w:t>
            </w:r>
            <w:r w:rsidR="00355066"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  <w:r w:rsidR="00914435" w:rsidRPr="00DA646C">
              <w:rPr>
                <w:color w:val="auto"/>
                <w:sz w:val="23"/>
                <w:szCs w:val="23"/>
                <w:lang w:eastAsia="ru-RU"/>
              </w:rPr>
              <w:t xml:space="preserve">по </w:t>
            </w:r>
            <w:r w:rsidR="00355066" w:rsidRPr="00DA646C">
              <w:rPr>
                <w:color w:val="auto"/>
                <w:sz w:val="23"/>
                <w:szCs w:val="23"/>
                <w:lang w:eastAsia="ru-RU"/>
              </w:rPr>
              <w:t>технической экспертизе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DB3986">
            <w:pPr>
              <w:rPr>
                <w:color w:val="auto"/>
                <w:sz w:val="23"/>
                <w:szCs w:val="23"/>
              </w:rPr>
            </w:pP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лота: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355066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  <w:lang w:eastAsia="ru-RU"/>
              </w:rPr>
              <w:t>Работы</w:t>
            </w:r>
            <w:r w:rsidR="00914435" w:rsidRPr="00DA646C">
              <w:rPr>
                <w:color w:val="auto"/>
                <w:sz w:val="23"/>
                <w:szCs w:val="23"/>
                <w:lang w:eastAsia="ru-RU"/>
              </w:rPr>
              <w:t xml:space="preserve"> по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технической экспертизе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DA646C" w:rsidRDefault="00914435" w:rsidP="00914435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Техническая экспертиза - анализ технического состояния (технических характеристик) задействованных активов, эффективности технологического процесса, включая соответствие норм материальных, трудовых затрат, технологии производства, оценка исполнения инвестиционных программ, уровня задействованности и обоснованности распределения основных средств по видам предоставляемых регулируемых услуг</w:t>
            </w:r>
          </w:p>
        </w:tc>
      </w:tr>
      <w:tr w:rsidR="00914435" w:rsidRPr="00DA646C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A646C" w:rsidRDefault="00914435" w:rsidP="00914435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A646C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3"/>
                <w:szCs w:val="23"/>
              </w:rPr>
            </w:pPr>
            <w:r w:rsidRPr="00DA646C">
              <w:rPr>
                <w:sz w:val="23"/>
                <w:szCs w:val="23"/>
              </w:rPr>
              <w:t xml:space="preserve">техническая экспертиза </w:t>
            </w:r>
            <w:r w:rsidRPr="00DA646C">
              <w:rPr>
                <w:rStyle w:val="s0"/>
                <w:sz w:val="23"/>
                <w:szCs w:val="23"/>
              </w:rPr>
              <w:t>исполнения утвержденной инвестиционной программы</w:t>
            </w:r>
            <w:r w:rsidRPr="00DA646C">
              <w:rPr>
                <w:sz w:val="23"/>
                <w:szCs w:val="23"/>
              </w:rPr>
              <w:t xml:space="preserve"> АО «Северо-Казахстанская Распределительная Электросетевая Компания» за 2019 г.</w:t>
            </w:r>
          </w:p>
          <w:p w:rsidR="00914435" w:rsidRPr="00DA646C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3"/>
                <w:szCs w:val="23"/>
              </w:rPr>
            </w:pPr>
            <w:r w:rsidRPr="00DA646C">
              <w:rPr>
                <w:sz w:val="23"/>
                <w:szCs w:val="23"/>
              </w:rPr>
              <w:t>техническая экспертиза необходимости осуществления инвестиционной программы АО «Северо-Казахстанская Распределительная Электросетевая Компания» на 2021-2025 гг.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914435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2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Единица измерения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Работа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914435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sz w:val="23"/>
                <w:szCs w:val="23"/>
              </w:rPr>
              <w:t>Апрель</w:t>
            </w:r>
            <w:r w:rsidR="008C5233" w:rsidRPr="00DA646C">
              <w:rPr>
                <w:sz w:val="23"/>
                <w:szCs w:val="23"/>
              </w:rPr>
              <w:t xml:space="preserve"> 2020 год</w:t>
            </w:r>
            <w:r w:rsidRPr="00DA646C">
              <w:rPr>
                <w:sz w:val="23"/>
                <w:szCs w:val="23"/>
              </w:rPr>
              <w:t>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373" w:rsidRPr="00DA646C" w:rsidRDefault="00DA646C" w:rsidP="00E21373">
            <w:pPr>
              <w:jc w:val="both"/>
              <w:rPr>
                <w:rStyle w:val="s0"/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       </w:t>
            </w:r>
            <w:r w:rsidR="00914435" w:rsidRPr="00DA646C">
              <w:rPr>
                <w:rStyle w:val="s0"/>
                <w:sz w:val="23"/>
                <w:szCs w:val="23"/>
              </w:rPr>
              <w:t>Работы осуществля</w:t>
            </w:r>
            <w:r w:rsidR="00E21373" w:rsidRPr="00DA646C">
              <w:rPr>
                <w:rStyle w:val="s0"/>
                <w:sz w:val="23"/>
                <w:szCs w:val="23"/>
              </w:rPr>
              <w:t>ю</w:t>
            </w:r>
            <w:r w:rsidR="00914435" w:rsidRPr="00DA646C">
              <w:rPr>
                <w:rStyle w:val="s0"/>
                <w:sz w:val="23"/>
                <w:szCs w:val="23"/>
              </w:rPr>
              <w:t>т</w:t>
            </w:r>
            <w:r w:rsidR="00E21373" w:rsidRPr="00DA646C">
              <w:rPr>
                <w:rStyle w:val="s0"/>
                <w:sz w:val="23"/>
                <w:szCs w:val="23"/>
              </w:rPr>
              <w:t>ся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исключительно эксперт</w:t>
            </w:r>
            <w:r w:rsidR="00E21373" w:rsidRPr="00DA646C">
              <w:rPr>
                <w:rStyle w:val="s0"/>
                <w:sz w:val="23"/>
                <w:szCs w:val="23"/>
              </w:rPr>
              <w:t>ом/ экспертной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организаци</w:t>
            </w:r>
            <w:r w:rsidR="00E21373" w:rsidRPr="00DA646C">
              <w:rPr>
                <w:rStyle w:val="s0"/>
                <w:sz w:val="23"/>
                <w:szCs w:val="23"/>
              </w:rPr>
              <w:t>ей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-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уполномоченное 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физическое или юридическое лицо,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список которых формируется ведомством уполномоченного органа или его территориальным органом, </w:t>
            </w:r>
            <w:r w:rsidR="00914435" w:rsidRPr="00DA646C">
              <w:rPr>
                <w:rStyle w:val="s0"/>
                <w:sz w:val="23"/>
                <w:szCs w:val="23"/>
              </w:rPr>
              <w:t>обладающее специальными знаниями или опытом в деятельности, подвергаемой экспертизе и оказывающее услуги по проведению технической экспертизы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. </w:t>
            </w:r>
          </w:p>
          <w:p w:rsidR="00E21373" w:rsidRPr="00DA646C" w:rsidRDefault="00DA646C" w:rsidP="00E21373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      </w:t>
            </w:r>
            <w:r w:rsidR="00E21373" w:rsidRPr="00DA646C">
              <w:rPr>
                <w:rStyle w:val="s0"/>
                <w:sz w:val="23"/>
                <w:szCs w:val="23"/>
              </w:rPr>
              <w:t>Основными принципами проведения уполномоченными лицами технической экспертизы являются:</w:t>
            </w:r>
          </w:p>
          <w:p w:rsidR="00E21373" w:rsidRPr="00DA646C" w:rsidRDefault="00E21373" w:rsidP="00E21373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независимость уполномоченных лиц;</w:t>
            </w:r>
          </w:p>
          <w:p w:rsidR="00E21373" w:rsidRPr="00DA646C" w:rsidRDefault="00E21373" w:rsidP="00E21373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полнота, всесторонность, объективность исследований, научная обоснованность результатов их проведения;</w:t>
            </w:r>
          </w:p>
          <w:p w:rsidR="00E21373" w:rsidRPr="00DA646C" w:rsidRDefault="00DA646C" w:rsidP="00E21373">
            <w:pPr>
              <w:jc w:val="both"/>
              <w:rPr>
                <w:rStyle w:val="s0"/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       </w:t>
            </w:r>
            <w:r w:rsidR="00E21373" w:rsidRPr="00DA646C">
              <w:rPr>
                <w:rStyle w:val="s0"/>
                <w:sz w:val="23"/>
                <w:szCs w:val="23"/>
              </w:rPr>
              <w:t>3) компетентность и профессионализм уполномоченных лиц.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lastRenderedPageBreak/>
              <w:t>В ходе проведения технической экспертизы уполномоченные лица (эксперты, экспертные организации) устанавливают фактическое исполнение мероприятий утвержденной инвестиционной программы, соблюдение показателей качества и надежности регулируемых услуг, достижение показателей эффективности деятельности субъектов естественных монополий.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1" w:name="SUB44000"/>
            <w:bookmarkEnd w:id="1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допускают: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представление необоснованного экспертного заключения;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участие в проведении технической экспертизы в случае возникновения конфликта интересов и иных обстоятельств, препятствующих проведению объективной технической экспертизы.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2" w:name="SUB44100"/>
            <w:bookmarkEnd w:id="2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обеспечивают сохранность представленных документов и конфиденциальность полученной информации;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осуществляют непосредственное обследование объектов инвестиционной программы, а также изучают документацию по нему без передоверия своего права.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3" w:name="SUB44200"/>
            <w:bookmarkEnd w:id="3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могут проводить техническую экспертизу, если: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имеют имущественный интерес к объекту инвестиционной программы;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это влечет возникновение конфликта интересов или создает угрозу возникновения такого конфликта, за исключением обязательств, возникающих из заключенных публичных договоров.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4" w:name="SUB44300"/>
            <w:bookmarkEnd w:id="4"/>
            <w:r w:rsidRPr="00DA646C">
              <w:rPr>
                <w:rStyle w:val="s0"/>
                <w:sz w:val="23"/>
                <w:szCs w:val="23"/>
              </w:rPr>
              <w:t>Техническая экспертиза включает анализ технического состояния и оценку технических характеристик основных средств, в том числе оценку степени изношенности оборудования на дату проведения экспертизы, сроков его эксплуатации по классификационным группам, принятым в соответствии с законодательством Республики Казахстан в данной отрасли, проектной и технологической мощности оборудования.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В ходе технической экспертизы: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оценивается уровень задействованности основных средств, а также оценивается уровень соответствующих показателей (суммарная установленная мощность оборудования, коэффициент мощности, коэффициент физического износа, коэффициент заполнения графика нагрузки и (или) других показателей с учетом специфики отрасли), обоснованность принятых в расчете ставки прибыли коэффициентов задействованности активов субъекта естественной монополии;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проводится анализ соблюдения нормативных требований по безопасности и охране труда на соответствие требованиям безопасности труда в условиях, установленных нормативно-технической документацией уполномоченного государственного </w:t>
            </w:r>
            <w:r w:rsidRPr="00DA646C">
              <w:rPr>
                <w:rStyle w:val="s0"/>
                <w:sz w:val="23"/>
                <w:szCs w:val="23"/>
              </w:rPr>
              <w:lastRenderedPageBreak/>
              <w:t>органа по труду;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дается оценка соответствия распределения задействованных активов по видам регулируемых услуг;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дается оценка качественных и количественных показателей, характеризующих условия производства, производственный и трудовой процесс с точки зрения обеспечения организационных, технических, санитарно-гигиенических, биологических и иных норм, правил, процедур и критериев, направленных на сохранение жизни и здоровья работников в процессе их трудовой деятельности;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5" w:name="SUB44400"/>
            <w:bookmarkEnd w:id="5"/>
            <w:r w:rsidRPr="00DA646C">
              <w:rPr>
                <w:rStyle w:val="s0"/>
                <w:sz w:val="23"/>
                <w:szCs w:val="23"/>
              </w:rPr>
              <w:t>Содержание заключения технической экспертизы: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вводная часть (перечень мероприятий, показателей качества и надежности регулируемых услуг, эффективности деятельности субъектов естественных монополий, информация о выделенных бюджетных и иных финансовых средствах, наличие перспективных и годовых (месячных) графиков на все виды ремонта основного и вспомогательного оборудования, зданий и сооружений субъекта естественной монополии);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сравнительный анализ предоставленной информации, с учетом внесенных изменений в утвержденную инвестиционную программу и фактически установленных результатов технической экспертизы;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3) синтезирующая часть (обоснованность объемов технического обслуживания и ремонта основных средств по видам регулируемых услуг с учетом их фактического состояния и требований инструкций и нормативно-технических документов, утвержденных компетентным органом, соответствие установленной субъектом естественной монополии периодичности всех видов ремонта требованиям инструкций, правил и нормативно-технической документации, оценка трудозатрат и численности персонала, определение соблюдения нормативных требований по безопасности и охране труда);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4) резолютивная часть (выводы и рекомендации о необходимости проведения текущих, средних и капитальных ремонтов (увеличивающих и не увеличивающих стоимость основных средств), замены, реконструкции и модернизации основных средств по видам регулируемых услуг, по оптимизации использования основных средств, эксплуатационных и других затрат, связанных с использованием основных средств, расхода сырья и материалов).</w:t>
            </w:r>
          </w:p>
          <w:p w:rsidR="00DA646C" w:rsidRPr="00DA646C" w:rsidRDefault="00DA646C" w:rsidP="00DA646C">
            <w:pPr>
              <w:ind w:firstLine="344"/>
              <w:jc w:val="both"/>
              <w:rPr>
                <w:sz w:val="23"/>
                <w:szCs w:val="23"/>
              </w:rPr>
            </w:pPr>
            <w:bookmarkStart w:id="6" w:name="SUB44500"/>
            <w:bookmarkEnd w:id="6"/>
            <w:r w:rsidRPr="00DA646C">
              <w:rPr>
                <w:rStyle w:val="s0"/>
                <w:sz w:val="23"/>
                <w:szCs w:val="23"/>
              </w:rPr>
              <w:t>Заключение технической экспертизы представляется субъекту естественной монополии не позднее пяти рабочих дней со дня его завершения</w:t>
            </w:r>
            <w:r w:rsidR="00057125">
              <w:rPr>
                <w:rStyle w:val="s0"/>
                <w:sz w:val="23"/>
                <w:szCs w:val="23"/>
              </w:rPr>
              <w:t xml:space="preserve"> </w:t>
            </w:r>
            <w:r w:rsidR="00057125" w:rsidRPr="00057125">
              <w:rPr>
                <w:rStyle w:val="s0"/>
                <w:sz w:val="23"/>
                <w:szCs w:val="23"/>
              </w:rPr>
              <w:t>в 4- экземплярах</w:t>
            </w:r>
          </w:p>
        </w:tc>
      </w:tr>
    </w:tbl>
    <w:p w:rsidR="008C5233" w:rsidRDefault="008C5233" w:rsidP="008C5233"/>
    <w:p w:rsidR="007978A0" w:rsidRPr="008C0DD3" w:rsidRDefault="007978A0" w:rsidP="008C5233"/>
    <w:sectPr w:rsidR="007978A0" w:rsidRPr="008C0DD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E03" w:rsidRDefault="00B92E03" w:rsidP="00B84B7A">
      <w:r>
        <w:separator/>
      </w:r>
    </w:p>
  </w:endnote>
  <w:endnote w:type="continuationSeparator" w:id="0">
    <w:p w:rsidR="00B92E03" w:rsidRDefault="00B92E03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E03" w:rsidRDefault="00B92E03" w:rsidP="00B84B7A">
      <w:r>
        <w:separator/>
      </w:r>
    </w:p>
  </w:footnote>
  <w:footnote w:type="continuationSeparator" w:id="0">
    <w:p w:rsidR="00B92E03" w:rsidRDefault="00B92E03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2B70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92E03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2020-02-17T07:40:00Z</dcterms:created>
  <dcterms:modified xsi:type="dcterms:W3CDTF">2020-02-17T07:40:00Z</dcterms:modified>
</cp:coreProperties>
</file>