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275A0D">
        <w:rPr>
          <w:bCs/>
          <w:color w:val="auto"/>
          <w:sz w:val="22"/>
          <w:szCs w:val="22"/>
          <w:lang w:eastAsia="ru-RU"/>
        </w:rPr>
        <w:t xml:space="preserve">Акционерное общество </w:t>
      </w:r>
      <w:r w:rsidR="00583B8E" w:rsidRPr="00275A0D">
        <w:rPr>
          <w:bCs/>
          <w:color w:val="auto"/>
          <w:sz w:val="22"/>
          <w:szCs w:val="22"/>
          <w:lang w:eastAsia="ru-RU"/>
        </w:rPr>
        <w:t>АО «Северо-Казахстанская  Распределительная Электросетевая Компания»,</w:t>
      </w:r>
      <w:r w:rsidRPr="00275A0D">
        <w:rPr>
          <w:bCs/>
          <w:color w:val="auto"/>
          <w:sz w:val="22"/>
          <w:szCs w:val="22"/>
          <w:lang w:eastAsia="ru-RU"/>
        </w:rPr>
        <w:t xml:space="preserve"> зарегистрированное в соответствии с законодательством Республики Казахстан, </w:t>
      </w:r>
      <w:r w:rsidRPr="00275A0D">
        <w:rPr>
          <w:color w:val="auto"/>
          <w:sz w:val="22"/>
          <w:szCs w:val="22"/>
          <w:lang w:eastAsia="ru-RU"/>
        </w:rPr>
        <w:t xml:space="preserve">именуемое в дальнейшем </w:t>
      </w:r>
      <w:r w:rsidRPr="00275A0D">
        <w:rPr>
          <w:bCs/>
          <w:color w:val="auto"/>
          <w:sz w:val="22"/>
          <w:szCs w:val="22"/>
          <w:lang w:eastAsia="ru-RU"/>
        </w:rPr>
        <w:t>«Покупатель»</w:t>
      </w:r>
      <w:r w:rsidRPr="00275A0D">
        <w:rPr>
          <w:color w:val="auto"/>
          <w:sz w:val="22"/>
          <w:szCs w:val="22"/>
          <w:lang w:eastAsia="ru-RU"/>
        </w:rPr>
        <w:t xml:space="preserve">, в лице  </w:t>
      </w:r>
      <w:r w:rsidR="00583B8E" w:rsidRPr="00275A0D">
        <w:rPr>
          <w:color w:val="auto"/>
          <w:sz w:val="22"/>
          <w:szCs w:val="22"/>
          <w:lang w:eastAsia="ru-RU"/>
        </w:rPr>
        <w:t>Генерального директора Казановского А.А.,</w:t>
      </w:r>
      <w:r w:rsidRPr="00275A0D">
        <w:rPr>
          <w:color w:val="auto"/>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90D" w:rsidRDefault="00F1690D" w:rsidP="00FE053B">
      <w:r>
        <w:separator/>
      </w:r>
    </w:p>
  </w:endnote>
  <w:endnote w:type="continuationSeparator" w:id="0">
    <w:p w:rsidR="00F1690D" w:rsidRDefault="00F1690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90D" w:rsidRDefault="00F1690D" w:rsidP="00FE053B">
      <w:r>
        <w:separator/>
      </w:r>
    </w:p>
  </w:footnote>
  <w:footnote w:type="continuationSeparator" w:id="0">
    <w:p w:rsidR="00F1690D" w:rsidRDefault="00F1690D"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00805"/>
    <w:rsid w:val="000336E2"/>
    <w:rsid w:val="000559F5"/>
    <w:rsid w:val="00164393"/>
    <w:rsid w:val="001775CF"/>
    <w:rsid w:val="00191BF7"/>
    <w:rsid w:val="0025326E"/>
    <w:rsid w:val="00263B28"/>
    <w:rsid w:val="00275A0D"/>
    <w:rsid w:val="00282B94"/>
    <w:rsid w:val="00293113"/>
    <w:rsid w:val="00364521"/>
    <w:rsid w:val="003D7C64"/>
    <w:rsid w:val="003E51A6"/>
    <w:rsid w:val="0046302C"/>
    <w:rsid w:val="004A2D2D"/>
    <w:rsid w:val="005261CD"/>
    <w:rsid w:val="00583B8E"/>
    <w:rsid w:val="005A4F36"/>
    <w:rsid w:val="006001C3"/>
    <w:rsid w:val="00612948"/>
    <w:rsid w:val="006A5231"/>
    <w:rsid w:val="008C770E"/>
    <w:rsid w:val="008F148D"/>
    <w:rsid w:val="009348FE"/>
    <w:rsid w:val="00975C2D"/>
    <w:rsid w:val="009A219C"/>
    <w:rsid w:val="00B670B2"/>
    <w:rsid w:val="00BA478F"/>
    <w:rsid w:val="00C140E8"/>
    <w:rsid w:val="00DB4093"/>
    <w:rsid w:val="00DC64A5"/>
    <w:rsid w:val="00DD528B"/>
    <w:rsid w:val="00DD61AD"/>
    <w:rsid w:val="00F1690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BD532-3080-4E53-BDBA-3FC96E91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2020-05-18T04:44:00Z</dcterms:created>
  <dcterms:modified xsi:type="dcterms:W3CDTF">2020-05-18T04:44:00Z</dcterms:modified>
</cp:coreProperties>
</file>