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7B4574" w:rsidRPr="007B4574" w14:paraId="754766C2" w14:textId="77777777" w:rsidTr="00C832AA">
        <w:trPr>
          <w:trHeight w:val="1586"/>
        </w:trPr>
        <w:tc>
          <w:tcPr>
            <w:tcW w:w="3574" w:type="dxa"/>
          </w:tcPr>
          <w:p w14:paraId="13E13014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7B4574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98F6E88" wp14:editId="6E90465F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57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14:paraId="40FE1E8C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14:paraId="6FE6ABEF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F5EF02C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830CE07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14:paraId="035CE11A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14:paraId="1D344DFB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14:paraId="7AA05E1D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7B457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14:paraId="4F3E13CA" w14:textId="77777777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1B8A1B34" w14:textId="65BE224F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7B4574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  <w:t xml:space="preserve">                             </w:t>
      </w:r>
      <w:r w:rsidRPr="00DB624D">
        <w:rPr>
          <w:rFonts w:ascii="Times New Roman" w:hAnsi="Times New Roman"/>
          <w:b/>
          <w:bCs/>
          <w:shd w:val="clear" w:color="auto" w:fill="FFFFFF"/>
          <w:lang w:val="en-US"/>
        </w:rPr>
        <w:t>2</w:t>
      </w:r>
      <w:r w:rsidR="00993404" w:rsidRPr="00DB624D">
        <w:rPr>
          <w:rFonts w:ascii="Times New Roman" w:hAnsi="Times New Roman"/>
          <w:b/>
          <w:bCs/>
          <w:shd w:val="clear" w:color="auto" w:fill="FFFFFF"/>
        </w:rPr>
        <w:t>0</w:t>
      </w:r>
      <w:r w:rsidRPr="00DB624D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70510D" w:rsidRPr="00DB624D">
        <w:rPr>
          <w:rFonts w:ascii="Times New Roman" w:hAnsi="Times New Roman"/>
          <w:b/>
          <w:bCs/>
          <w:shd w:val="clear" w:color="auto" w:fill="FFFFFF"/>
        </w:rPr>
        <w:t>июля</w:t>
      </w:r>
      <w:r w:rsidRPr="00DB624D">
        <w:rPr>
          <w:rFonts w:ascii="Times New Roman" w:hAnsi="Times New Roman"/>
          <w:b/>
          <w:bCs/>
          <w:shd w:val="clear" w:color="auto" w:fill="FFFFFF"/>
        </w:rPr>
        <w:t xml:space="preserve"> 202</w:t>
      </w:r>
      <w:r w:rsidR="00D55830" w:rsidRPr="00DB624D">
        <w:rPr>
          <w:rFonts w:ascii="Times New Roman" w:hAnsi="Times New Roman"/>
          <w:b/>
          <w:bCs/>
          <w:shd w:val="clear" w:color="auto" w:fill="FFFFFF"/>
        </w:rPr>
        <w:t>2</w:t>
      </w:r>
      <w:r w:rsidRPr="00DB624D">
        <w:rPr>
          <w:rFonts w:ascii="Times New Roman" w:hAnsi="Times New Roman"/>
          <w:b/>
          <w:bCs/>
          <w:shd w:val="clear" w:color="auto" w:fill="FFFFFF"/>
        </w:rPr>
        <w:t xml:space="preserve"> г.</w:t>
      </w:r>
      <w:r w:rsidRPr="007B4574">
        <w:rPr>
          <w:rFonts w:ascii="Times New Roman" w:hAnsi="Times New Roman"/>
          <w:b/>
          <w:bCs/>
          <w:shd w:val="clear" w:color="auto" w:fill="FFFFFF"/>
        </w:rPr>
        <w:t xml:space="preserve"> </w:t>
      </w:r>
    </w:p>
    <w:p w14:paraId="1C42662C" w14:textId="77777777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30C6EF17" w14:textId="77777777" w:rsidR="00D55830" w:rsidRDefault="007B4574" w:rsidP="00D55830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B4574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>
        <w:rPr>
          <w:rFonts w:ascii="Times New Roman" w:hAnsi="Times New Roman"/>
          <w:b/>
          <w:lang w:eastAsia="ru-RU"/>
        </w:rPr>
        <w:t>к слушаниям</w:t>
      </w:r>
      <w:r w:rsidR="00D55830">
        <w:rPr>
          <w:rFonts w:ascii="Times New Roman" w:hAnsi="Times New Roman"/>
          <w:b/>
          <w:lang w:eastAsia="ru-RU"/>
        </w:rPr>
        <w:t xml:space="preserve"> по</w:t>
      </w:r>
      <w:r>
        <w:rPr>
          <w:rFonts w:ascii="Times New Roman" w:hAnsi="Times New Roman"/>
          <w:b/>
          <w:lang w:eastAsia="ru-RU"/>
        </w:rPr>
        <w:t xml:space="preserve"> </w:t>
      </w:r>
      <w:r w:rsidR="00D55830">
        <w:rPr>
          <w:rFonts w:ascii="Times New Roman" w:hAnsi="Times New Roman"/>
          <w:b/>
          <w:lang w:eastAsia="ru-RU"/>
        </w:rPr>
        <w:t>о</w:t>
      </w:r>
      <w:r w:rsidR="00D55830">
        <w:rPr>
          <w:rFonts w:ascii="Times New Roman" w:hAnsi="Times New Roman"/>
          <w:b/>
          <w:bCs/>
          <w:shd w:val="clear" w:color="auto" w:fill="FFFFFF"/>
        </w:rPr>
        <w:t xml:space="preserve">тчету о деятельности </w:t>
      </w:r>
    </w:p>
    <w:p w14:paraId="12C42B27" w14:textId="14D0FEAD" w:rsidR="00D55830" w:rsidRDefault="00D55830" w:rsidP="00D55830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ТОО «</w:t>
      </w:r>
      <w:r w:rsidRPr="00F74C97">
        <w:rPr>
          <w:rFonts w:ascii="Times New Roman" w:hAnsi="Times New Roman"/>
          <w:b/>
          <w:lang w:eastAsia="ru-RU"/>
        </w:rPr>
        <w:t>Петроп</w:t>
      </w:r>
      <w:r>
        <w:rPr>
          <w:rFonts w:ascii="Times New Roman" w:hAnsi="Times New Roman"/>
          <w:b/>
          <w:lang w:eastAsia="ru-RU"/>
        </w:rPr>
        <w:t xml:space="preserve">авловские Тепловые Сети» </w:t>
      </w:r>
    </w:p>
    <w:p w14:paraId="05229BEC" w14:textId="78F8CF54" w:rsidR="00D55830" w:rsidRDefault="00D55830" w:rsidP="00D55830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 1 полугодие 202</w:t>
      </w:r>
      <w:r w:rsidR="0070510D" w:rsidRPr="0070510D">
        <w:rPr>
          <w:rFonts w:ascii="Times New Roman" w:hAnsi="Times New Roman"/>
          <w:b/>
          <w:lang w:eastAsia="ru-RU"/>
        </w:rPr>
        <w:t>2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  <w:r>
        <w:rPr>
          <w:rFonts w:ascii="Times New Roman" w:hAnsi="Times New Roman"/>
          <w:b/>
          <w:lang w:eastAsia="ru-RU"/>
        </w:rPr>
        <w:t xml:space="preserve">а </w:t>
      </w:r>
      <w:r w:rsidRPr="00F74C97">
        <w:rPr>
          <w:rFonts w:ascii="Times New Roman" w:hAnsi="Times New Roman"/>
          <w:b/>
          <w:lang w:eastAsia="ru-RU"/>
        </w:rPr>
        <w:t>по предоставлению регулируемых услуг</w:t>
      </w:r>
    </w:p>
    <w:p w14:paraId="1BC45F9D" w14:textId="77777777" w:rsidR="00D55830" w:rsidRPr="00F74C97" w:rsidRDefault="00D55830" w:rsidP="00D5583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передаче и распределению тепловой энергии</w:t>
      </w:r>
    </w:p>
    <w:p w14:paraId="1C4CC194" w14:textId="5794CA53" w:rsidR="00F74C97" w:rsidRPr="007B4574" w:rsidRDefault="00F74C97" w:rsidP="00D55830">
      <w:pPr>
        <w:spacing w:after="0" w:line="240" w:lineRule="auto"/>
        <w:ind w:firstLine="400"/>
        <w:jc w:val="center"/>
        <w:rPr>
          <w:rFonts w:ascii="Times New Roman" w:hAnsi="Times New Roman"/>
          <w:lang w:eastAsia="ru-RU"/>
        </w:rPr>
      </w:pPr>
    </w:p>
    <w:p w14:paraId="47AB1F0F" w14:textId="77777777" w:rsidR="00F74C97" w:rsidRPr="00D416F0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ТОО «Петропавловские Тепловые Сети» является </w:t>
      </w:r>
      <w:proofErr w:type="spellStart"/>
      <w:r w:rsidRPr="004F024C">
        <w:rPr>
          <w:rFonts w:ascii="Times New Roman" w:hAnsi="Times New Roman"/>
          <w:lang w:eastAsia="ru-RU"/>
        </w:rPr>
        <w:t>энергопередающей</w:t>
      </w:r>
      <w:proofErr w:type="spellEnd"/>
      <w:r w:rsidRPr="004F024C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</w:t>
      </w:r>
      <w:r w:rsidRPr="00D416F0">
        <w:rPr>
          <w:rFonts w:ascii="Times New Roman" w:hAnsi="Times New Roman"/>
          <w:lang w:eastAsia="ru-RU"/>
        </w:rPr>
        <w:t xml:space="preserve">Петропавловска. </w:t>
      </w:r>
    </w:p>
    <w:p w14:paraId="7D949CE0" w14:textId="5E6BF3E3" w:rsidR="00D55830" w:rsidRPr="00D416F0" w:rsidRDefault="00D55830" w:rsidP="00D55830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D416F0">
        <w:rPr>
          <w:rFonts w:ascii="Times New Roman" w:hAnsi="Times New Roman"/>
          <w:lang w:eastAsia="ru-RU"/>
        </w:rPr>
        <w:t xml:space="preserve">Наше предприятие за 1 полугодие 2022 года осуществило транспортировку тепловой энергии порядка 73 357 абонентам бытового сектора и 2 364 абонентам промышленных, бюджетных, коммерческих и прочих потребителей.  </w:t>
      </w:r>
    </w:p>
    <w:p w14:paraId="6B62067F" w14:textId="77777777" w:rsidR="00136B20" w:rsidRPr="00D416F0" w:rsidRDefault="00136B20" w:rsidP="00136B20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D416F0">
        <w:rPr>
          <w:rFonts w:ascii="Times New Roman" w:hAnsi="Times New Roman"/>
          <w:lang w:eastAsia="ru-RU"/>
        </w:rPr>
        <w:t>Протяженность обслуживаемых предприятием тепловых сетей составляет 230,4 км, а именно:</w:t>
      </w:r>
    </w:p>
    <w:p w14:paraId="2AA01752" w14:textId="77777777" w:rsidR="00136B20" w:rsidRPr="00D416F0" w:rsidRDefault="00136B20" w:rsidP="00136B2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D416F0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D416F0">
        <w:rPr>
          <w:rFonts w:ascii="Times New Roman" w:hAnsi="Times New Roman"/>
          <w:lang w:eastAsia="ru-RU"/>
        </w:rPr>
        <w:t>Ду</w:t>
      </w:r>
      <w:proofErr w:type="spellEnd"/>
      <w:r w:rsidRPr="00D416F0">
        <w:rPr>
          <w:rFonts w:ascii="Times New Roman" w:hAnsi="Times New Roman"/>
          <w:lang w:eastAsia="ru-RU"/>
        </w:rPr>
        <w:t xml:space="preserve"> ≥ 300 мм) – 81,6 км </w:t>
      </w:r>
    </w:p>
    <w:p w14:paraId="5AAB6EE4" w14:textId="75986D00" w:rsidR="00136B20" w:rsidRDefault="00136B20" w:rsidP="00136B2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D416F0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D416F0">
        <w:rPr>
          <w:rFonts w:ascii="Times New Roman" w:hAnsi="Times New Roman"/>
          <w:lang w:eastAsia="ru-RU"/>
        </w:rPr>
        <w:t>Ду</w:t>
      </w:r>
      <w:proofErr w:type="spellEnd"/>
      <w:r w:rsidRPr="00D416F0">
        <w:rPr>
          <w:rFonts w:ascii="Times New Roman" w:hAnsi="Times New Roman"/>
          <w:lang w:eastAsia="ru-RU"/>
        </w:rPr>
        <w:t xml:space="preserve"> &lt; 300 мм) – 148,8 км.</w:t>
      </w:r>
    </w:p>
    <w:p w14:paraId="7DB79543" w14:textId="2184D0A3" w:rsidR="00A35A8F" w:rsidRPr="004F024C" w:rsidRDefault="00A35A8F" w:rsidP="00892C3D">
      <w:pPr>
        <w:spacing w:after="0" w:line="240" w:lineRule="auto"/>
        <w:ind w:firstLine="426"/>
        <w:jc w:val="both"/>
        <w:rPr>
          <w:rFonts w:ascii="Times New Roman" w:eastAsia="MS Mincho" w:hAnsi="Times New Roman"/>
          <w:szCs w:val="20"/>
          <w:lang w:eastAsia="ru-RU"/>
        </w:rPr>
      </w:pPr>
      <w:r w:rsidRPr="00D416F0">
        <w:rPr>
          <w:rFonts w:ascii="Times New Roman" w:eastAsia="MS Mincho" w:hAnsi="Times New Roman"/>
          <w:szCs w:val="20"/>
          <w:lang w:eastAsia="ru-RU"/>
        </w:rPr>
        <w:t>С 01.02.202</w:t>
      </w:r>
      <w:r w:rsidR="00D96ABC">
        <w:rPr>
          <w:rFonts w:ascii="Times New Roman" w:eastAsia="MS Mincho" w:hAnsi="Times New Roman"/>
          <w:szCs w:val="20"/>
          <w:lang w:eastAsia="ru-RU"/>
        </w:rPr>
        <w:t>2</w:t>
      </w:r>
      <w:r w:rsidRPr="00D416F0">
        <w:rPr>
          <w:rFonts w:ascii="Times New Roman" w:eastAsia="MS Mincho" w:hAnsi="Times New Roman"/>
          <w:szCs w:val="20"/>
          <w:lang w:eastAsia="ru-RU"/>
        </w:rPr>
        <w:t xml:space="preserve"> года по 31.12.202</w:t>
      </w:r>
      <w:r w:rsidR="00D96ABC">
        <w:rPr>
          <w:rFonts w:ascii="Times New Roman" w:eastAsia="MS Mincho" w:hAnsi="Times New Roman"/>
          <w:szCs w:val="20"/>
          <w:lang w:eastAsia="ru-RU"/>
        </w:rPr>
        <w:t>2</w:t>
      </w:r>
      <w:r w:rsidRPr="00D416F0">
        <w:rPr>
          <w:rFonts w:ascii="Times New Roman" w:eastAsia="MS Mincho" w:hAnsi="Times New Roman"/>
          <w:szCs w:val="20"/>
          <w:lang w:eastAsia="ru-RU"/>
        </w:rPr>
        <w:t xml:space="preserve"> год действ</w:t>
      </w:r>
      <w:r w:rsidR="00136B20" w:rsidRPr="00D416F0">
        <w:rPr>
          <w:rFonts w:ascii="Times New Roman" w:eastAsia="MS Mincho" w:hAnsi="Times New Roman"/>
          <w:szCs w:val="20"/>
          <w:lang w:eastAsia="ru-RU"/>
        </w:rPr>
        <w:t xml:space="preserve">ует </w:t>
      </w:r>
      <w:r w:rsidRPr="00D416F0">
        <w:rPr>
          <w:rFonts w:ascii="Times New Roman" w:eastAsia="MS Mincho" w:hAnsi="Times New Roman"/>
          <w:szCs w:val="20"/>
          <w:lang w:eastAsia="ru-RU"/>
        </w:rPr>
        <w:t xml:space="preserve">тариф </w:t>
      </w:r>
      <w:r w:rsidR="00136B20" w:rsidRPr="00D416F0">
        <w:rPr>
          <w:rFonts w:ascii="Times New Roman" w:eastAsia="MS Mincho" w:hAnsi="Times New Roman"/>
          <w:szCs w:val="20"/>
          <w:lang w:eastAsia="ru-RU"/>
        </w:rPr>
        <w:t>3 024,43</w:t>
      </w:r>
      <w:r w:rsidRPr="00D416F0">
        <w:rPr>
          <w:rFonts w:ascii="Times New Roman" w:eastAsia="MS Mincho" w:hAnsi="Times New Roman"/>
          <w:szCs w:val="20"/>
          <w:lang w:eastAsia="ru-RU"/>
        </w:rPr>
        <w:t xml:space="preserve"> тенге без НДС/Гкал утвержденный приказом РГУ «ДКРЕМ МНЭ РК по СКО» от 15.12.2021 года № 114-ОД.</w:t>
      </w:r>
      <w:r w:rsidRPr="004F024C">
        <w:rPr>
          <w:rFonts w:ascii="Times New Roman" w:eastAsia="MS Mincho" w:hAnsi="Times New Roman"/>
          <w:szCs w:val="20"/>
          <w:lang w:eastAsia="ru-RU"/>
        </w:rPr>
        <w:t xml:space="preserve"> </w:t>
      </w:r>
    </w:p>
    <w:p w14:paraId="5A6C8DB2" w14:textId="77777777" w:rsidR="00F82F14" w:rsidRPr="004F024C" w:rsidRDefault="00F82F14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184CEA4" w14:textId="77777777" w:rsidR="00F74C97" w:rsidRPr="004F024C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F024C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14:paraId="2EF82F6A" w14:textId="77777777" w:rsidR="00805CE1" w:rsidRPr="004F024C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58"/>
        <w:gridCol w:w="1269"/>
        <w:gridCol w:w="1261"/>
      </w:tblGrid>
      <w:tr w:rsidR="00F74C97" w:rsidRPr="004F024C" w14:paraId="2939A358" w14:textId="77777777" w:rsidTr="00963467">
        <w:trPr>
          <w:trHeight w:val="72"/>
        </w:trPr>
        <w:tc>
          <w:tcPr>
            <w:tcW w:w="705" w:type="dxa"/>
            <w:shd w:val="clear" w:color="auto" w:fill="auto"/>
            <w:vAlign w:val="center"/>
          </w:tcPr>
          <w:p w14:paraId="023FB414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24C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4F024C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858" w:type="dxa"/>
            <w:shd w:val="clear" w:color="auto" w:fill="auto"/>
            <w:vAlign w:val="center"/>
          </w:tcPr>
          <w:p w14:paraId="60EC0A14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24C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A4B7E8D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24C">
              <w:rPr>
                <w:rFonts w:ascii="Times New Roman" w:hAnsi="Times New Roman"/>
                <w:b/>
                <w:lang w:eastAsia="ru-RU"/>
              </w:rPr>
              <w:t>Ед.</w:t>
            </w:r>
            <w:r w:rsidR="00733A7C" w:rsidRPr="004F024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F024C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D42DD89" w14:textId="5E059223" w:rsidR="00F74C97" w:rsidRPr="00D416F0" w:rsidRDefault="00D55830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D416F0">
              <w:rPr>
                <w:rFonts w:ascii="Times New Roman" w:hAnsi="Times New Roman"/>
                <w:b/>
                <w:lang w:eastAsia="ru-RU"/>
              </w:rPr>
              <w:t>1</w:t>
            </w:r>
            <w:r w:rsidR="005C28EE">
              <w:rPr>
                <w:rFonts w:ascii="Times New Roman" w:hAnsi="Times New Roman"/>
                <w:b/>
                <w:lang w:eastAsia="ru-RU"/>
              </w:rPr>
              <w:t>-е</w:t>
            </w:r>
            <w:r w:rsidRPr="00D416F0">
              <w:rPr>
                <w:rFonts w:ascii="Times New Roman" w:hAnsi="Times New Roman"/>
                <w:b/>
                <w:lang w:eastAsia="ru-RU"/>
              </w:rPr>
              <w:t xml:space="preserve"> полугодие 2022 года</w:t>
            </w:r>
          </w:p>
        </w:tc>
      </w:tr>
      <w:tr w:rsidR="003F6859" w:rsidRPr="004F024C" w14:paraId="04521D81" w14:textId="77777777" w:rsidTr="00963467">
        <w:trPr>
          <w:trHeight w:val="75"/>
        </w:trPr>
        <w:tc>
          <w:tcPr>
            <w:tcW w:w="705" w:type="dxa"/>
            <w:shd w:val="clear" w:color="auto" w:fill="auto"/>
            <w:vAlign w:val="center"/>
          </w:tcPr>
          <w:p w14:paraId="233C20E4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4C68DF7" w14:textId="77777777" w:rsidR="003F6859" w:rsidRPr="004F024C" w:rsidRDefault="003F6859" w:rsidP="003F68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410CFA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4F024C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A9BC144" w14:textId="51BBF008" w:rsidR="003F6859" w:rsidRPr="00D416F0" w:rsidRDefault="00D55830" w:rsidP="003F685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D416F0">
              <w:rPr>
                <w:rFonts w:ascii="Times New Roman" w:hAnsi="Times New Roman"/>
                <w:lang w:val="kk-KZ" w:eastAsia="ru-RU"/>
              </w:rPr>
              <w:t>75,7</w:t>
            </w:r>
          </w:p>
        </w:tc>
      </w:tr>
      <w:tr w:rsidR="003F6859" w:rsidRPr="004F024C" w14:paraId="78679F4C" w14:textId="77777777" w:rsidTr="00963467">
        <w:trPr>
          <w:trHeight w:val="254"/>
        </w:trPr>
        <w:tc>
          <w:tcPr>
            <w:tcW w:w="705" w:type="dxa"/>
            <w:shd w:val="clear" w:color="auto" w:fill="auto"/>
            <w:vAlign w:val="center"/>
          </w:tcPr>
          <w:p w14:paraId="5D42A27F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060CAA9" w14:textId="245119F8" w:rsidR="003F6859" w:rsidRPr="004F024C" w:rsidRDefault="003F6859" w:rsidP="003F68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 xml:space="preserve">Количество абонентов промышленных, бюджетных, коммерческих и прочих потребителей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4B9E24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FEC8BB" w14:textId="752C0253" w:rsidR="003F6859" w:rsidRPr="00D416F0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D416F0">
              <w:rPr>
                <w:rFonts w:ascii="Times New Roman" w:hAnsi="Times New Roman"/>
                <w:lang w:eastAsia="ru-RU"/>
              </w:rPr>
              <w:t>2 3</w:t>
            </w:r>
            <w:r w:rsidR="00136B20" w:rsidRPr="00D416F0">
              <w:rPr>
                <w:rFonts w:ascii="Times New Roman" w:hAnsi="Times New Roman"/>
                <w:lang w:val="kk-KZ" w:eastAsia="ru-RU"/>
              </w:rPr>
              <w:t>64</w:t>
            </w:r>
          </w:p>
        </w:tc>
      </w:tr>
      <w:tr w:rsidR="00136B20" w:rsidRPr="004F024C" w14:paraId="42D94781" w14:textId="77777777" w:rsidTr="00963467">
        <w:trPr>
          <w:trHeight w:val="69"/>
        </w:trPr>
        <w:tc>
          <w:tcPr>
            <w:tcW w:w="705" w:type="dxa"/>
            <w:shd w:val="clear" w:color="auto" w:fill="auto"/>
            <w:vAlign w:val="center"/>
          </w:tcPr>
          <w:p w14:paraId="3A572012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B7616F3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5B3BE6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15B54F" w14:textId="465F1C46" w:rsidR="00136B20" w:rsidRPr="00D416F0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6F0">
              <w:rPr>
                <w:rFonts w:ascii="Times New Roman" w:hAnsi="Times New Roman"/>
                <w:lang w:eastAsia="ru-RU"/>
              </w:rPr>
              <w:t>230,4</w:t>
            </w:r>
          </w:p>
        </w:tc>
      </w:tr>
      <w:tr w:rsidR="00136B20" w:rsidRPr="004F024C" w14:paraId="7DBECB3F" w14:textId="77777777" w:rsidTr="00963467">
        <w:trPr>
          <w:trHeight w:val="50"/>
        </w:trPr>
        <w:tc>
          <w:tcPr>
            <w:tcW w:w="705" w:type="dxa"/>
            <w:shd w:val="clear" w:color="auto" w:fill="auto"/>
            <w:vAlign w:val="center"/>
          </w:tcPr>
          <w:p w14:paraId="2498F55C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B098791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A2818B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F024C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050905C" w14:textId="469836F2" w:rsidR="00136B20" w:rsidRPr="00D416F0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6F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36B20" w:rsidRPr="004F024C" w14:paraId="5702CDFE" w14:textId="77777777" w:rsidTr="00963467">
        <w:trPr>
          <w:trHeight w:val="118"/>
        </w:trPr>
        <w:tc>
          <w:tcPr>
            <w:tcW w:w="705" w:type="dxa"/>
            <w:shd w:val="clear" w:color="auto" w:fill="auto"/>
            <w:vAlign w:val="center"/>
          </w:tcPr>
          <w:p w14:paraId="1B882813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17621DD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FE07A2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F024C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B779E5B" w14:textId="5BDE01BC" w:rsidR="00136B20" w:rsidRPr="00D416F0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6F0"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136B20" w:rsidRPr="004F024C" w14:paraId="408A010A" w14:textId="77777777" w:rsidTr="00963467">
        <w:trPr>
          <w:trHeight w:val="153"/>
        </w:trPr>
        <w:tc>
          <w:tcPr>
            <w:tcW w:w="705" w:type="dxa"/>
            <w:shd w:val="clear" w:color="auto" w:fill="auto"/>
            <w:vAlign w:val="center"/>
          </w:tcPr>
          <w:p w14:paraId="21A56750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17919F7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E5F184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6F5E85" w14:textId="2D2E73AF" w:rsidR="005C7F8F" w:rsidRPr="00D416F0" w:rsidRDefault="005C7F8F" w:rsidP="005C7F8F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239</w:t>
            </w:r>
          </w:p>
        </w:tc>
      </w:tr>
      <w:tr w:rsidR="00136B20" w:rsidRPr="004F024C" w14:paraId="3A6D83D4" w14:textId="77777777" w:rsidTr="00963467">
        <w:trPr>
          <w:trHeight w:val="139"/>
        </w:trPr>
        <w:tc>
          <w:tcPr>
            <w:tcW w:w="705" w:type="dxa"/>
            <w:shd w:val="clear" w:color="auto" w:fill="auto"/>
            <w:vAlign w:val="center"/>
          </w:tcPr>
          <w:p w14:paraId="0956A5B1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C1F2E99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4B7F5F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262268A" w14:textId="717121D3" w:rsidR="00136B20" w:rsidRPr="00D416F0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6F0">
              <w:rPr>
                <w:rFonts w:ascii="Times New Roman" w:hAnsi="Times New Roman"/>
                <w:lang w:eastAsia="ru-RU"/>
              </w:rPr>
              <w:t>737, 206</w:t>
            </w:r>
          </w:p>
        </w:tc>
      </w:tr>
      <w:tr w:rsidR="00136B20" w:rsidRPr="004F024C" w14:paraId="030E32A4" w14:textId="77777777" w:rsidTr="00963467">
        <w:trPr>
          <w:trHeight w:val="5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667340F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14:paraId="1044E756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6B9773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09DDC03" w14:textId="749FA367" w:rsidR="00136B20" w:rsidRPr="00D416F0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6F0">
              <w:rPr>
                <w:rFonts w:ascii="Times New Roman" w:hAnsi="Times New Roman"/>
                <w:lang w:eastAsia="ru-RU"/>
              </w:rPr>
              <w:t>14,85</w:t>
            </w:r>
          </w:p>
        </w:tc>
      </w:tr>
      <w:tr w:rsidR="00136B20" w:rsidRPr="004F024C" w14:paraId="3FFC79A2" w14:textId="77777777" w:rsidTr="00963467">
        <w:trPr>
          <w:trHeight w:val="182"/>
        </w:trPr>
        <w:tc>
          <w:tcPr>
            <w:tcW w:w="705" w:type="dxa"/>
            <w:vMerge/>
            <w:shd w:val="clear" w:color="auto" w:fill="auto"/>
            <w:vAlign w:val="center"/>
          </w:tcPr>
          <w:p w14:paraId="52B95EFF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8" w:type="dxa"/>
            <w:vMerge/>
            <w:shd w:val="clear" w:color="auto" w:fill="auto"/>
            <w:vAlign w:val="center"/>
          </w:tcPr>
          <w:p w14:paraId="2C7E36EE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10E0E39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44584F" w14:textId="36E030AA" w:rsidR="00136B20" w:rsidRPr="00D416F0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ru-RU"/>
              </w:rPr>
            </w:pPr>
            <w:r w:rsidRPr="00D416F0">
              <w:rPr>
                <w:rFonts w:ascii="Times New Roman" w:hAnsi="Times New Roman"/>
                <w:bCs/>
                <w:lang w:val="kk-KZ" w:eastAsia="ru-RU"/>
              </w:rPr>
              <w:t>137,040</w:t>
            </w:r>
          </w:p>
        </w:tc>
      </w:tr>
      <w:tr w:rsidR="00136B20" w:rsidRPr="004F024C" w14:paraId="6B90B45E" w14:textId="77777777" w:rsidTr="00963467">
        <w:trPr>
          <w:trHeight w:val="134"/>
        </w:trPr>
        <w:tc>
          <w:tcPr>
            <w:tcW w:w="705" w:type="dxa"/>
            <w:shd w:val="clear" w:color="auto" w:fill="auto"/>
            <w:vAlign w:val="center"/>
          </w:tcPr>
          <w:p w14:paraId="53D32443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6230FC7" w14:textId="77777777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2145A5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79AA8D" w14:textId="24D2D6C8" w:rsidR="00136B20" w:rsidRPr="00D416F0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D416F0">
              <w:rPr>
                <w:rFonts w:ascii="Times New Roman" w:hAnsi="Times New Roman"/>
                <w:lang w:val="kk-KZ" w:eastAsia="ru-RU"/>
              </w:rPr>
              <w:t>48,323</w:t>
            </w:r>
          </w:p>
        </w:tc>
      </w:tr>
      <w:tr w:rsidR="00136B20" w:rsidRPr="004F024C" w14:paraId="06550C14" w14:textId="77777777" w:rsidTr="00963467">
        <w:trPr>
          <w:trHeight w:val="92"/>
        </w:trPr>
        <w:tc>
          <w:tcPr>
            <w:tcW w:w="705" w:type="dxa"/>
            <w:shd w:val="clear" w:color="auto" w:fill="auto"/>
            <w:vAlign w:val="center"/>
          </w:tcPr>
          <w:p w14:paraId="29646F7D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D15D346" w14:textId="36DBEE46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  <w:r w:rsidR="00662DD2">
              <w:rPr>
                <w:rFonts w:ascii="Times New Roman" w:hAnsi="Times New Roman"/>
                <w:lang w:eastAsia="ru-RU"/>
              </w:rPr>
              <w:t xml:space="preserve"> </w:t>
            </w:r>
            <w:r w:rsidR="00662DD2" w:rsidRPr="0019143B">
              <w:rPr>
                <w:rFonts w:ascii="Times New Roman" w:hAnsi="Times New Roman"/>
                <w:lang w:eastAsia="ru-RU"/>
              </w:rPr>
              <w:t>(по предварит. данным)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56D523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33B55BD" w14:textId="56138983" w:rsidR="00D416F0" w:rsidRPr="00E71439" w:rsidRDefault="00D416F0" w:rsidP="00D416F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71439">
              <w:rPr>
                <w:rFonts w:ascii="Times New Roman" w:hAnsi="Times New Roman"/>
                <w:lang w:val="kk-KZ" w:eastAsia="ru-RU"/>
              </w:rPr>
              <w:t>2</w:t>
            </w:r>
            <w:r w:rsidR="002A1EBB" w:rsidRPr="00E71439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E71439">
              <w:rPr>
                <w:rFonts w:ascii="Times New Roman" w:hAnsi="Times New Roman"/>
                <w:lang w:val="kk-KZ" w:eastAsia="ru-RU"/>
              </w:rPr>
              <w:t>230</w:t>
            </w:r>
          </w:p>
        </w:tc>
      </w:tr>
      <w:tr w:rsidR="00136B20" w:rsidRPr="004F024C" w14:paraId="7D6F5D26" w14:textId="77777777" w:rsidTr="00963467">
        <w:trPr>
          <w:trHeight w:val="168"/>
        </w:trPr>
        <w:tc>
          <w:tcPr>
            <w:tcW w:w="705" w:type="dxa"/>
            <w:shd w:val="clear" w:color="auto" w:fill="auto"/>
            <w:vAlign w:val="center"/>
          </w:tcPr>
          <w:p w14:paraId="07BD1BA2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7CD9CA73" w14:textId="3986DC43" w:rsidR="00136B20" w:rsidRPr="004F024C" w:rsidRDefault="00136B20" w:rsidP="00136B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  <w:r w:rsidR="00662DD2" w:rsidRPr="0019143B">
              <w:rPr>
                <w:rFonts w:ascii="Times New Roman" w:hAnsi="Times New Roman"/>
                <w:lang w:eastAsia="ru-RU"/>
              </w:rPr>
              <w:t xml:space="preserve"> (по предварит. данным)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388B3F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642D842" w14:textId="1C0FC7F0" w:rsidR="00136B20" w:rsidRPr="00E71439" w:rsidRDefault="00E71439" w:rsidP="00136B2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71439">
              <w:rPr>
                <w:rFonts w:ascii="Times New Roman" w:hAnsi="Times New Roman"/>
                <w:lang w:val="kk-KZ" w:eastAsia="ru-RU"/>
              </w:rPr>
              <w:t>1 900</w:t>
            </w:r>
          </w:p>
        </w:tc>
      </w:tr>
      <w:tr w:rsidR="00136B20" w:rsidRPr="004F024C" w14:paraId="4AE7C994" w14:textId="77777777" w:rsidTr="00963467">
        <w:trPr>
          <w:trHeight w:val="228"/>
        </w:trPr>
        <w:tc>
          <w:tcPr>
            <w:tcW w:w="705" w:type="dxa"/>
            <w:shd w:val="clear" w:color="auto" w:fill="auto"/>
            <w:vAlign w:val="center"/>
          </w:tcPr>
          <w:p w14:paraId="345580B4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F024C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2459BDEA" w14:textId="1256D372" w:rsidR="00963467" w:rsidRPr="0019143B" w:rsidRDefault="00963467" w:rsidP="009634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143B">
              <w:rPr>
                <w:rFonts w:ascii="Times New Roman" w:hAnsi="Times New Roman"/>
                <w:lang w:eastAsia="ru-RU"/>
              </w:rPr>
              <w:t>Фин.</w:t>
            </w:r>
            <w:r>
              <w:rPr>
                <w:rFonts w:ascii="Times New Roman" w:hAnsi="Times New Roman"/>
                <w:lang w:eastAsia="ru-RU"/>
              </w:rPr>
              <w:t xml:space="preserve"> результат</w:t>
            </w:r>
            <w:r w:rsidRPr="0019143B">
              <w:rPr>
                <w:rFonts w:ascii="Times New Roman" w:hAnsi="Times New Roman"/>
                <w:lang w:eastAsia="ru-RU"/>
              </w:rPr>
              <w:t xml:space="preserve"> от основной деятельности</w:t>
            </w:r>
          </w:p>
          <w:p w14:paraId="4F3743A5" w14:textId="21D77EB8" w:rsidR="00136B20" w:rsidRPr="004F024C" w:rsidRDefault="00963467" w:rsidP="009634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143B">
              <w:rPr>
                <w:rFonts w:ascii="Times New Roman" w:hAnsi="Times New Roman"/>
                <w:lang w:eastAsia="ru-RU"/>
              </w:rPr>
              <w:t>(по предварит. данным)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2AEB02" w14:textId="77777777" w:rsidR="00136B20" w:rsidRPr="004F024C" w:rsidRDefault="00136B20" w:rsidP="00136B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866BF2" w14:textId="7B3A1CCD" w:rsidR="00136B20" w:rsidRPr="00E71439" w:rsidRDefault="00E71439" w:rsidP="00136B2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71439">
              <w:rPr>
                <w:rFonts w:ascii="Times New Roman" w:hAnsi="Times New Roman"/>
                <w:lang w:val="kk-KZ" w:eastAsia="ru-RU"/>
              </w:rPr>
              <w:t>330</w:t>
            </w:r>
          </w:p>
        </w:tc>
      </w:tr>
    </w:tbl>
    <w:p w14:paraId="35BFDDAD" w14:textId="77777777" w:rsidR="00BE4B25" w:rsidRPr="004F024C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F024C">
        <w:rPr>
          <w:rFonts w:ascii="Times New Roman" w:hAnsi="Times New Roman"/>
          <w:sz w:val="16"/>
          <w:szCs w:val="16"/>
          <w:lang w:eastAsia="ru-RU"/>
        </w:rPr>
        <w:tab/>
      </w:r>
    </w:p>
    <w:p w14:paraId="11DD8B0B" w14:textId="01F92B70" w:rsidR="00D55830" w:rsidRPr="004F024C" w:rsidRDefault="00D55830" w:rsidP="00AB249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D416F0">
        <w:rPr>
          <w:rFonts w:ascii="Times New Roman" w:hAnsi="Times New Roman"/>
          <w:lang w:eastAsia="ru-RU"/>
        </w:rPr>
        <w:t xml:space="preserve">По итогам </w:t>
      </w:r>
      <w:r w:rsidR="00C970FD">
        <w:rPr>
          <w:rFonts w:ascii="Times New Roman" w:hAnsi="Times New Roman"/>
          <w:lang w:eastAsia="ru-RU"/>
        </w:rPr>
        <w:t>1-го полугодия</w:t>
      </w:r>
      <w:r w:rsidRPr="00D416F0">
        <w:rPr>
          <w:rFonts w:ascii="Times New Roman" w:hAnsi="Times New Roman"/>
          <w:lang w:eastAsia="ru-RU"/>
        </w:rPr>
        <w:t xml:space="preserve"> 2022 год</w:t>
      </w:r>
      <w:r w:rsidR="00C970FD">
        <w:rPr>
          <w:rFonts w:ascii="Times New Roman" w:hAnsi="Times New Roman"/>
          <w:lang w:eastAsia="ru-RU"/>
        </w:rPr>
        <w:t>а</w:t>
      </w:r>
      <w:r w:rsidRPr="00D416F0">
        <w:rPr>
          <w:rFonts w:ascii="Times New Roman" w:hAnsi="Times New Roman"/>
          <w:lang w:eastAsia="ru-RU"/>
        </w:rPr>
        <w:t xml:space="preserve"> суммарные потери тепловой энергии составили 20,09% или </w:t>
      </w:r>
      <w:r w:rsidRPr="00D416F0">
        <w:rPr>
          <w:rStyle w:val="s1"/>
          <w:rFonts w:ascii="Times New Roman" w:hAnsi="Times New Roman"/>
          <w:b w:val="0"/>
          <w:bCs w:val="0"/>
          <w:color w:val="auto"/>
          <w:sz w:val="22"/>
          <w:szCs w:val="22"/>
        </w:rPr>
        <w:t xml:space="preserve">185 363,45 </w:t>
      </w:r>
      <w:r w:rsidRPr="00D416F0">
        <w:rPr>
          <w:rFonts w:ascii="Times New Roman" w:hAnsi="Times New Roman"/>
          <w:lang w:eastAsia="ru-RU"/>
        </w:rPr>
        <w:t>Гкал от отпуска в сеть.</w:t>
      </w:r>
      <w:r w:rsidRPr="004F024C">
        <w:rPr>
          <w:rFonts w:ascii="Times New Roman" w:hAnsi="Times New Roman"/>
          <w:lang w:eastAsia="ru-RU"/>
        </w:rPr>
        <w:t xml:space="preserve"> </w:t>
      </w:r>
    </w:p>
    <w:p w14:paraId="73B9E3C6" w14:textId="77777777" w:rsidR="00081687" w:rsidRPr="004F024C" w:rsidRDefault="00081687" w:rsidP="00AB2490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Основными причинами которых является:</w:t>
      </w:r>
    </w:p>
    <w:p w14:paraId="23E8EB95" w14:textId="4DF9016E" w:rsidR="00136B20" w:rsidRPr="00D416F0" w:rsidRDefault="00D416F0" w:rsidP="00AB2490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D416F0">
        <w:rPr>
          <w:rFonts w:ascii="Times New Roman" w:hAnsi="Times New Roman"/>
          <w:bCs/>
          <w:lang w:eastAsia="ru-RU"/>
        </w:rPr>
        <w:t>-</w:t>
      </w:r>
      <w:r w:rsidR="00136B20" w:rsidRPr="00D416F0">
        <w:rPr>
          <w:rFonts w:ascii="Times New Roman" w:hAnsi="Times New Roman"/>
          <w:bCs/>
          <w:lang w:eastAsia="ru-RU"/>
        </w:rPr>
        <w:t>высокий уровень износа тепловых сетей (на 01.07.2022 г. – 72% (магистральные сети – 77%, распределительные сети – 63%; на 01.07.2021 г. – 7</w:t>
      </w:r>
      <w:r w:rsidR="00136B20" w:rsidRPr="00D416F0">
        <w:rPr>
          <w:rFonts w:ascii="Times New Roman" w:hAnsi="Times New Roman"/>
          <w:bCs/>
          <w:lang w:val="kk-KZ" w:eastAsia="ru-RU"/>
        </w:rPr>
        <w:t>1</w:t>
      </w:r>
      <w:r w:rsidR="00136B20" w:rsidRPr="00D416F0">
        <w:rPr>
          <w:rFonts w:ascii="Times New Roman" w:hAnsi="Times New Roman"/>
          <w:bCs/>
          <w:lang w:eastAsia="ru-RU"/>
        </w:rPr>
        <w:t>% (магистральные сети – 7</w:t>
      </w:r>
      <w:r w:rsidR="00136B20" w:rsidRPr="00D416F0">
        <w:rPr>
          <w:rFonts w:ascii="Times New Roman" w:hAnsi="Times New Roman"/>
          <w:bCs/>
          <w:lang w:val="kk-KZ" w:eastAsia="ru-RU"/>
        </w:rPr>
        <w:t>5</w:t>
      </w:r>
      <w:r w:rsidR="00136B20" w:rsidRPr="00D416F0">
        <w:rPr>
          <w:rFonts w:ascii="Times New Roman" w:hAnsi="Times New Roman"/>
          <w:bCs/>
          <w:lang w:eastAsia="ru-RU"/>
        </w:rPr>
        <w:t>%, распределительные сети – 6</w:t>
      </w:r>
      <w:r w:rsidR="00136B20" w:rsidRPr="00D416F0">
        <w:rPr>
          <w:rFonts w:ascii="Times New Roman" w:hAnsi="Times New Roman"/>
          <w:bCs/>
          <w:lang w:val="kk-KZ" w:eastAsia="ru-RU"/>
        </w:rPr>
        <w:t>1</w:t>
      </w:r>
      <w:r w:rsidR="00136B20" w:rsidRPr="00D416F0">
        <w:rPr>
          <w:rFonts w:ascii="Times New Roman" w:hAnsi="Times New Roman"/>
          <w:bCs/>
          <w:lang w:eastAsia="ru-RU"/>
        </w:rPr>
        <w:t xml:space="preserve">%), а также предельный износ вспомогательного оборудования, зданий и сооружений (на 01.07.2022г. - 32%, на 01.07.2021 г. - 30%); </w:t>
      </w:r>
    </w:p>
    <w:p w14:paraId="39A26901" w14:textId="77777777" w:rsidR="00136B20" w:rsidRPr="00D416F0" w:rsidRDefault="00136B20" w:rsidP="00AB2490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D416F0">
        <w:rPr>
          <w:rFonts w:ascii="Times New Roman" w:hAnsi="Times New Roman"/>
          <w:bCs/>
          <w:lang w:eastAsia="ru-RU"/>
        </w:rPr>
        <w:t>- затопление подземных теплопроводов;</w:t>
      </w:r>
    </w:p>
    <w:p w14:paraId="26A315D8" w14:textId="77777777" w:rsidR="00136B20" w:rsidRPr="004F024C" w:rsidRDefault="00136B20" w:rsidP="00AB2490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D416F0">
        <w:rPr>
          <w:rFonts w:ascii="Times New Roman" w:hAnsi="Times New Roman"/>
          <w:bCs/>
          <w:lang w:eastAsia="ru-RU"/>
        </w:rPr>
        <w:t>- тепловые сети на балансе потребителей (частный сектор, «бесхозные», тепловые сети на балансе Акимата, в целом порядка 161 км.</w:t>
      </w:r>
    </w:p>
    <w:p w14:paraId="14376D33" w14:textId="77777777" w:rsidR="00FC5531" w:rsidRPr="00AB2490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>За 1 полугодие 2022 года произведен плановый ремонт магистральных и разводящих сетей с заменой труб общей протяжённостью 4,209 км, при плане 2,719 км (155 %);</w:t>
      </w:r>
    </w:p>
    <w:p w14:paraId="2D64F520" w14:textId="33ECAE4A" w:rsidR="00FC5531" w:rsidRPr="00AB2490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>Так же предприятием выполнены следующие виды работ:</w:t>
      </w:r>
    </w:p>
    <w:p w14:paraId="151C9DED" w14:textId="32E20074" w:rsidR="00FC5531" w:rsidRPr="00AB2490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 xml:space="preserve">- произведена замена запорной арматуры – 34 шт. (при плане 45 </w:t>
      </w:r>
      <w:r w:rsidR="00C970FD" w:rsidRPr="00AB2490">
        <w:rPr>
          <w:rFonts w:ascii="Times New Roman" w:hAnsi="Times New Roman"/>
          <w:shd w:val="clear" w:color="auto" w:fill="FFFFFF"/>
          <w:lang w:eastAsia="ru-RU"/>
        </w:rPr>
        <w:t>шт.</w:t>
      </w:r>
      <w:r w:rsidRPr="00AB2490">
        <w:rPr>
          <w:rFonts w:ascii="Times New Roman" w:hAnsi="Times New Roman"/>
          <w:shd w:val="clear" w:color="auto" w:fill="FFFFFF"/>
          <w:lang w:eastAsia="ru-RU"/>
        </w:rPr>
        <w:t>, выполнение составило 75,6%),</w:t>
      </w:r>
    </w:p>
    <w:p w14:paraId="05E343A6" w14:textId="74E6F08E" w:rsidR="00FC5531" w:rsidRPr="00AB2490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lastRenderedPageBreak/>
        <w:t xml:space="preserve">- выполнен ремонт тепловых камер – 7 шт. (при плане 3 </w:t>
      </w:r>
      <w:r w:rsidR="00C970FD" w:rsidRPr="00AB2490">
        <w:rPr>
          <w:rFonts w:ascii="Times New Roman" w:hAnsi="Times New Roman"/>
          <w:shd w:val="clear" w:color="auto" w:fill="FFFFFF"/>
          <w:lang w:eastAsia="ru-RU"/>
        </w:rPr>
        <w:t>шт.</w:t>
      </w:r>
      <w:r w:rsidRPr="00AB2490">
        <w:rPr>
          <w:rFonts w:ascii="Times New Roman" w:hAnsi="Times New Roman"/>
          <w:shd w:val="clear" w:color="auto" w:fill="FFFFFF"/>
          <w:lang w:eastAsia="ru-RU"/>
        </w:rPr>
        <w:t>, выполнение составило 233%.);</w:t>
      </w:r>
    </w:p>
    <w:p w14:paraId="7AA6F3C5" w14:textId="669ED024" w:rsidR="00FC5531" w:rsidRPr="00AB2490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>- выполнен ремонт тепловой изоляции 3,4 км (при плане 2,2 км, выполнение составило 155%).</w:t>
      </w:r>
    </w:p>
    <w:p w14:paraId="71E2BCCE" w14:textId="69ABF77B" w:rsidR="00FC5531" w:rsidRPr="00AB2490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>- проведён текущий ремонт насосного и электросилового оборудования на магистральных насосных станциях, выполнены испытания электродвигателей и насосов. Выполнен ремонт насосного оборудования на абонентских насосных станциях на 74,5 % от запланированного объёма.</w:t>
      </w:r>
    </w:p>
    <w:p w14:paraId="22722EF0" w14:textId="6ED561D8" w:rsidR="00FC5531" w:rsidRPr="00AB2490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 xml:space="preserve">- производятся работы по восстановлению асфальтного покрытия. Восстановлено тротуаров и дорожного покрытия в объеме 1000 м2 (при плане 700 м2, выполнение составило 143%). </w:t>
      </w:r>
    </w:p>
    <w:p w14:paraId="117F69A8" w14:textId="232021EB" w:rsidR="00FC5531" w:rsidRDefault="00FC5531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>Ремонты не приводящие к увеличению стоимости основных средств выполнены на сумму 26</w:t>
      </w:r>
      <w:r w:rsidR="006B492E" w:rsidRPr="006B492E">
        <w:rPr>
          <w:rFonts w:ascii="Times New Roman" w:hAnsi="Times New Roman"/>
          <w:shd w:val="clear" w:color="auto" w:fill="FFFFFF"/>
          <w:lang w:eastAsia="ru-RU"/>
        </w:rPr>
        <w:t>2</w:t>
      </w:r>
      <w:r w:rsidRPr="00AB2490">
        <w:rPr>
          <w:rFonts w:ascii="Times New Roman" w:hAnsi="Times New Roman"/>
          <w:shd w:val="clear" w:color="auto" w:fill="FFFFFF"/>
          <w:lang w:eastAsia="ru-RU"/>
        </w:rPr>
        <w:t>,</w:t>
      </w:r>
      <w:r w:rsidR="00C47098" w:rsidRPr="00C47098">
        <w:rPr>
          <w:rFonts w:ascii="Times New Roman" w:hAnsi="Times New Roman"/>
          <w:shd w:val="clear" w:color="auto" w:fill="FFFFFF"/>
          <w:lang w:eastAsia="ru-RU"/>
        </w:rPr>
        <w:t>1</w:t>
      </w:r>
      <w:r w:rsidRPr="00AB2490">
        <w:rPr>
          <w:rFonts w:ascii="Times New Roman" w:hAnsi="Times New Roman"/>
          <w:shd w:val="clear" w:color="auto" w:fill="FFFFFF"/>
          <w:lang w:eastAsia="ru-RU"/>
        </w:rPr>
        <w:t xml:space="preserve"> млн. тенге.</w:t>
      </w:r>
    </w:p>
    <w:p w14:paraId="52EC6C4E" w14:textId="227CCB46" w:rsidR="00221EEB" w:rsidRPr="00D416F0" w:rsidRDefault="00221EEB" w:rsidP="00AB2490">
      <w:pPr>
        <w:tabs>
          <w:tab w:val="left" w:pos="284"/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339A8E8F" w14:textId="05422A0A" w:rsidR="004D08EA" w:rsidRPr="00D416F0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  <w:r w:rsidRPr="0019143B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68D6F47" wp14:editId="08BE5CA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602523" cy="2021205"/>
            <wp:effectExtent l="19050" t="0" r="0" b="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BC270" w14:textId="3EEB1140" w:rsidR="004D08EA" w:rsidRDefault="004D08EA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5B018FC7" w14:textId="17A0F100" w:rsidR="00963467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144A492C" w14:textId="00E5CAFF" w:rsidR="00963467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0AA939FC" w14:textId="19222582" w:rsidR="00963467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4E05AA9B" w14:textId="4A6ECB3F" w:rsidR="00963467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17780442" w14:textId="72481FAE" w:rsidR="00963467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53F44FE5" w14:textId="5EA9DD6E" w:rsidR="00963467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35A0AB9D" w14:textId="6FE47A07" w:rsidR="00963467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2B2A5023" w14:textId="77777777" w:rsidR="00963467" w:rsidRPr="00D416F0" w:rsidRDefault="00963467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1A3F2F43" w14:textId="08B46200" w:rsidR="00CA4FF2" w:rsidRPr="00CE0C1D" w:rsidRDefault="00CA4FF2" w:rsidP="00963467">
      <w:pPr>
        <w:tabs>
          <w:tab w:val="left" w:pos="284"/>
        </w:tabs>
        <w:spacing w:after="0" w:line="240" w:lineRule="auto"/>
        <w:ind w:firstLine="426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504D863" w14:textId="051B5064" w:rsidR="004D08EA" w:rsidRPr="00D416F0" w:rsidRDefault="004D08EA" w:rsidP="00CA4FF2">
      <w:pPr>
        <w:tabs>
          <w:tab w:val="left" w:pos="284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7126948B" w14:textId="77777777" w:rsidR="00963467" w:rsidRDefault="00963467" w:rsidP="00AB2490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05B797A" w14:textId="0B204C95" w:rsidR="00AB2490" w:rsidRPr="00AB2490" w:rsidRDefault="00AB2490" w:rsidP="00AB2490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 xml:space="preserve">Инвестиционная программа ТОО "Петропавловские Тепловые Сети" на 2021-2025 годы (с учетом внесенных изменений) утверждена совместным приказом Департамента Комитета по регулированию естественных монополий МНЭ РК по СКО от 11.01.2021г. №3-ОД и управления энергетики и жилищно-коммунального хозяйства акимата СКО от 13.01.2021г. №3. </w:t>
      </w:r>
    </w:p>
    <w:p w14:paraId="504FE21C" w14:textId="02E645CE" w:rsidR="00AB2490" w:rsidRPr="00AB2490" w:rsidRDefault="00AB2490" w:rsidP="00AB2490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B2490">
        <w:rPr>
          <w:rFonts w:ascii="Times New Roman" w:hAnsi="Times New Roman"/>
          <w:shd w:val="clear" w:color="auto" w:fill="FFFFFF"/>
          <w:lang w:eastAsia="ru-RU"/>
        </w:rPr>
        <w:t>В 1-ом полугодии 2022 года, в рамках инвестиционной программы предприятия выполнение составило 17 135 тыс. тенге без НДС при годовом плане 607 604 тыс. тенге или 2,8%. Начаты работы по проекту: «Реконструкция ТМ№3 2Ду500мм по ул. Сатпаева от ТК-6-19 до ТК-3-15г»</w:t>
      </w:r>
      <w:r w:rsidR="00951B8C">
        <w:rPr>
          <w:rFonts w:ascii="Times New Roman" w:hAnsi="Times New Roman"/>
          <w:shd w:val="clear" w:color="auto" w:fill="FFFFFF"/>
          <w:lang w:eastAsia="ru-RU"/>
        </w:rPr>
        <w:t>,</w:t>
      </w:r>
      <w:r w:rsidRPr="00AB2490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951B8C">
        <w:rPr>
          <w:rFonts w:ascii="Times New Roman" w:hAnsi="Times New Roman"/>
          <w:shd w:val="clear" w:color="auto" w:fill="FFFFFF"/>
          <w:lang w:eastAsia="ru-RU"/>
        </w:rPr>
        <w:t>п</w:t>
      </w:r>
      <w:r w:rsidRPr="00AB2490">
        <w:rPr>
          <w:rFonts w:ascii="Times New Roman" w:hAnsi="Times New Roman"/>
          <w:shd w:val="clear" w:color="auto" w:fill="FFFFFF"/>
          <w:lang w:eastAsia="ru-RU"/>
        </w:rPr>
        <w:t xml:space="preserve">ериод реализации проекта: 2022-2024 годы. В текущем году работы продлятся до 30 сентября. Общая стоимость проекта составляет 1 252,7 млн. тенге без НДС, в том числе на 2022 год предусмотрено 273,4 млн. тенге. Планируется выполнить реконструкцию магистрального трубопровода Ду500мм общей протяженностью 1 512 </w:t>
      </w:r>
      <w:proofErr w:type="spellStart"/>
      <w:r w:rsidRPr="00AB2490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AB2490">
        <w:rPr>
          <w:rFonts w:ascii="Times New Roman" w:hAnsi="Times New Roman"/>
          <w:shd w:val="clear" w:color="auto" w:fill="FFFFFF"/>
          <w:lang w:eastAsia="ru-RU"/>
        </w:rPr>
        <w:t xml:space="preserve">., в том числе: в 2022 году - 494 </w:t>
      </w:r>
      <w:proofErr w:type="spellStart"/>
      <w:r w:rsidRPr="00AB2490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AB2490">
        <w:rPr>
          <w:rFonts w:ascii="Times New Roman" w:hAnsi="Times New Roman"/>
          <w:shd w:val="clear" w:color="auto" w:fill="FFFFFF"/>
          <w:lang w:eastAsia="ru-RU"/>
        </w:rPr>
        <w:t xml:space="preserve">. С начала реализации проекта были выполнены следующие виды работ: демонтаж трубопровода (Ду500, 400, 200 мм) - 150 </w:t>
      </w:r>
      <w:proofErr w:type="spellStart"/>
      <w:r w:rsidRPr="00AB2490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AB2490">
        <w:rPr>
          <w:rFonts w:ascii="Times New Roman" w:hAnsi="Times New Roman"/>
          <w:shd w:val="clear" w:color="auto" w:fill="FFFFFF"/>
          <w:lang w:eastAsia="ru-RU"/>
        </w:rPr>
        <w:t xml:space="preserve">., демонтаж задвижек – 11 шт., демонтаж неподвижных опор и железобетонных камер – 134 м3, монтаж канала и трубопровода - 46 </w:t>
      </w:r>
      <w:proofErr w:type="spellStart"/>
      <w:r w:rsidRPr="00AB2490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AB2490">
        <w:rPr>
          <w:rFonts w:ascii="Times New Roman" w:hAnsi="Times New Roman"/>
          <w:shd w:val="clear" w:color="auto" w:fill="FFFFFF"/>
          <w:lang w:eastAsia="ru-RU"/>
        </w:rPr>
        <w:t>. Исполнение составило – 16 985 тыс. тенге без НДС. Кроме того, в рамках реализации данного проекта ИП «Ткачук Л.П.» осуществлен вынос в натуру линий регулирования застройки. Стоимость работ составила 150 тыс. тенге без НДС. Работы по реконструкции выполняются согласно</w:t>
      </w: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AB2490">
        <w:rPr>
          <w:rFonts w:ascii="Times New Roman" w:hAnsi="Times New Roman"/>
          <w:shd w:val="clear" w:color="auto" w:fill="FFFFFF"/>
          <w:lang w:eastAsia="ru-RU"/>
        </w:rPr>
        <w:t>графику и будут завершены в установленные договором сроки.</w:t>
      </w:r>
    </w:p>
    <w:p w14:paraId="6671A3E2" w14:textId="7149CBDC" w:rsidR="00AB2490" w:rsidRPr="00B6136D" w:rsidRDefault="00AB2490" w:rsidP="00AB2490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6136D">
        <w:rPr>
          <w:rFonts w:ascii="Times New Roman" w:hAnsi="Times New Roman"/>
          <w:shd w:val="clear" w:color="auto" w:fill="FFFFFF"/>
          <w:lang w:eastAsia="ru-RU"/>
        </w:rPr>
        <w:t xml:space="preserve">Также, в рамках инвестиционной программы предприятия на 2022 год было предусмотрено завершение работ по реконструкции тепломагистрали №7-18 2 Ду500 мм по ул. Алматинская. </w:t>
      </w:r>
      <w:r w:rsidR="001D2BC8" w:rsidRPr="001D2BC8">
        <w:rPr>
          <w:rFonts w:ascii="Times New Roman" w:hAnsi="Times New Roman"/>
          <w:shd w:val="clear" w:color="auto" w:fill="FFFFFF"/>
          <w:lang w:eastAsia="ru-RU"/>
        </w:rPr>
        <w:t>Мероприятие будет откорректировано в установленные законом сроки.</w:t>
      </w:r>
    </w:p>
    <w:p w14:paraId="0A9AB41B" w14:textId="77777777" w:rsidR="005C7F8F" w:rsidRPr="005C7F8F" w:rsidRDefault="005C7F8F" w:rsidP="005C7F8F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5C7F8F">
        <w:rPr>
          <w:rFonts w:ascii="Times New Roman" w:hAnsi="Times New Roman"/>
          <w:shd w:val="clear" w:color="auto" w:fill="FFFFFF"/>
          <w:lang w:eastAsia="ru-RU"/>
        </w:rPr>
        <w:t>Штатная численность персонала ТОО «ПТС» - 262,5 ед. Фактически предприятие обеспечено персоналом только на 86%. На конец 1 полугодия 2022г. количество вакансий составляет 45 единиц.</w:t>
      </w:r>
    </w:p>
    <w:p w14:paraId="6BFC3291" w14:textId="1CE1D3EA" w:rsidR="005C7F8F" w:rsidRPr="004F024C" w:rsidRDefault="005C7F8F" w:rsidP="005C7F8F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5C7F8F">
        <w:rPr>
          <w:rFonts w:ascii="Times New Roman" w:hAnsi="Times New Roman"/>
          <w:shd w:val="clear" w:color="auto" w:fill="FFFFFF"/>
          <w:lang w:eastAsia="ru-RU"/>
        </w:rPr>
        <w:t>Наиболее остро ощущается нехватка рабочего персонала (30</w:t>
      </w:r>
      <w:r w:rsidR="00CE0C1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5C7F8F">
        <w:rPr>
          <w:rFonts w:ascii="Times New Roman" w:hAnsi="Times New Roman"/>
          <w:shd w:val="clear" w:color="auto" w:fill="FFFFFF"/>
          <w:lang w:eastAsia="ru-RU"/>
        </w:rPr>
        <w:t>ед.): слесарей по обслуживанию тепловых сетей, газорезчиков, изолировщиков на термоизоляции, слесарей по ремонту оборудования тепловых сетей, электрослесарей. Неконкурентоспособная заработная плата, наличие вредных факторов производственной среды и трудового процесса создают проблемы в привлечении и удержании персонала, особенно сотрудников, имеющих критически важные навыки. Идет отток квалифицированных специалистов, усложняется подбор персонала за счет снижения репутации предприятия по сложности выполняемых работ и низкой оплаты за данную работу на рынке труда по сравнению с другими предприятиями.</w:t>
      </w:r>
    </w:p>
    <w:p w14:paraId="3287CBE3" w14:textId="6D30B2E9" w:rsidR="00C62CDE" w:rsidRPr="004F024C" w:rsidRDefault="00C62CDE" w:rsidP="009356E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 Петропавловска на отопительный сезон 202</w:t>
      </w:r>
      <w:r w:rsidR="009356E8">
        <w:rPr>
          <w:rFonts w:ascii="Times New Roman" w:hAnsi="Times New Roman"/>
          <w:shd w:val="clear" w:color="auto" w:fill="FFFFFF"/>
          <w:lang w:eastAsia="ru-RU"/>
        </w:rPr>
        <w:t>2</w:t>
      </w:r>
      <w:r w:rsidRPr="004F024C">
        <w:rPr>
          <w:rFonts w:ascii="Times New Roman" w:hAnsi="Times New Roman"/>
          <w:shd w:val="clear" w:color="auto" w:fill="FFFFFF"/>
          <w:lang w:eastAsia="ru-RU"/>
        </w:rPr>
        <w:t>-202</w:t>
      </w:r>
      <w:r w:rsidR="009356E8">
        <w:rPr>
          <w:rFonts w:ascii="Times New Roman" w:hAnsi="Times New Roman"/>
          <w:shd w:val="clear" w:color="auto" w:fill="FFFFFF"/>
          <w:lang w:eastAsia="ru-RU"/>
        </w:rPr>
        <w:t>3</w:t>
      </w: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гг., в котором максимальный часовой расход теплоносителя составляет </w:t>
      </w:r>
      <w:r w:rsidR="00582547">
        <w:rPr>
          <w:rFonts w:ascii="Times New Roman" w:hAnsi="Times New Roman"/>
          <w:shd w:val="clear" w:color="auto" w:fill="FFFFFF"/>
          <w:lang w:eastAsia="ru-RU"/>
        </w:rPr>
        <w:t xml:space="preserve">15 800 </w:t>
      </w:r>
      <w:r w:rsidRPr="004F024C">
        <w:rPr>
          <w:rFonts w:ascii="Times New Roman" w:hAnsi="Times New Roman"/>
          <w:shd w:val="clear" w:color="auto" w:fill="FFFFFF"/>
          <w:lang w:eastAsia="ru-RU"/>
        </w:rPr>
        <w:t>т/ч.</w:t>
      </w:r>
    </w:p>
    <w:p w14:paraId="1EA5A33A" w14:textId="5A2CAA7C" w:rsidR="00C62CDE" w:rsidRPr="004F024C" w:rsidRDefault="00C62CDE" w:rsidP="00C62CD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</w:t>
      </w:r>
      <w:r w:rsidR="00AB2490" w:rsidRPr="004F024C">
        <w:rPr>
          <w:rFonts w:ascii="Times New Roman" w:hAnsi="Times New Roman"/>
          <w:shd w:val="clear" w:color="auto" w:fill="FFFFFF"/>
          <w:lang w:eastAsia="ru-RU"/>
        </w:rPr>
        <w:t>согласно требованиям</w:t>
      </w: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«Правил пользования тепловой энергией», после чего представителями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14:paraId="6A9E4612" w14:textId="77777777" w:rsidR="009356E8" w:rsidRPr="00791AF4" w:rsidRDefault="009356E8" w:rsidP="002C29E1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91AF4">
        <w:rPr>
          <w:rFonts w:ascii="Times New Roman" w:hAnsi="Times New Roman"/>
          <w:shd w:val="clear" w:color="auto" w:fill="FFFFFF"/>
          <w:lang w:eastAsia="ru-RU"/>
        </w:rPr>
        <w:t xml:space="preserve">В 2022 году на низкое качество теплоснабжения поступило 46 обращений, из них нет обоснованных. </w:t>
      </w:r>
    </w:p>
    <w:p w14:paraId="298A20F2" w14:textId="65FB093D" w:rsidR="002C29E1" w:rsidRPr="00791AF4" w:rsidRDefault="002C29E1" w:rsidP="002C29E1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91AF4">
        <w:rPr>
          <w:rFonts w:ascii="Times New Roman" w:hAnsi="Times New Roman"/>
          <w:shd w:val="clear" w:color="auto" w:fill="FFFFFF"/>
          <w:lang w:eastAsia="ru-RU"/>
        </w:rPr>
        <w:lastRenderedPageBreak/>
        <w:t>С целью обеспечения максимальной открытости и прозрачности процесса оформления технических условий на присоединение к системе централизованного теплоснабжения в промышленную эксплуатацию внедрена автоматизированная система управления процессом технологического присоединения. Также реализована возможность подачи заявления на выдачу технических условий через электронную канцелярию ТОО</w:t>
      </w:r>
      <w:r w:rsidR="009356E8" w:rsidRPr="00791AF4">
        <w:rPr>
          <w:rFonts w:ascii="Times New Roman" w:hAnsi="Times New Roman"/>
          <w:shd w:val="clear" w:color="auto" w:fill="FFFFFF"/>
          <w:lang w:eastAsia="ru-RU"/>
        </w:rPr>
        <w:t xml:space="preserve"> «Петропавловские Тепловые Сети»</w:t>
      </w:r>
      <w:r w:rsidRPr="00791AF4">
        <w:rPr>
          <w:rFonts w:ascii="Times New Roman" w:hAnsi="Times New Roman"/>
          <w:shd w:val="clear" w:color="auto" w:fill="FFFFFF"/>
          <w:lang w:eastAsia="ru-RU"/>
        </w:rPr>
        <w:t>.</w:t>
      </w:r>
    </w:p>
    <w:p w14:paraId="331EBC08" w14:textId="77777777" w:rsidR="002C29E1" w:rsidRPr="00791AF4" w:rsidRDefault="002C29E1" w:rsidP="002C29E1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91AF4">
        <w:rPr>
          <w:rFonts w:ascii="Times New Roman" w:hAnsi="Times New Roman"/>
          <w:shd w:val="clear" w:color="auto" w:fill="FFFFFF"/>
          <w:lang w:eastAsia="ru-RU"/>
        </w:rPr>
        <w:t xml:space="preserve">За </w:t>
      </w:r>
      <w:r w:rsidRPr="00791AF4">
        <w:rPr>
          <w:rFonts w:ascii="Times New Roman" w:hAnsi="Times New Roman"/>
          <w:shd w:val="clear" w:color="auto" w:fill="FFFFFF"/>
          <w:lang w:val="kk-KZ" w:eastAsia="ru-RU"/>
        </w:rPr>
        <w:t>6</w:t>
      </w:r>
      <w:r w:rsidRPr="00791AF4">
        <w:rPr>
          <w:rFonts w:ascii="Times New Roman" w:hAnsi="Times New Roman"/>
          <w:shd w:val="clear" w:color="auto" w:fill="FFFFFF"/>
          <w:lang w:eastAsia="ru-RU"/>
        </w:rPr>
        <w:t xml:space="preserve"> месяцев 2022 год было подготовлено и выдано 50 технических условий на вновь вводимые объекты присоединяемой мощностью 18,22 Гкал/час, в том числе на подключение 29 индивидуальных жилых домов мощностью 0,85 Гкал/час, 8 многоэтажных жилых домов мощностью 8,65 Гкал/час, 5 объектов торговли и сервисного обслуживания мощностью 1,7 Гкал/час, 3 производственных объекта мощностью 1,44 Гкал/час, 4 бюджетных объектов мощностью 5,3 Гкал/час, 1 объект вновь вводимой нагрузки по ГВС мощностью 0,28 Гкал/ч. </w:t>
      </w:r>
    </w:p>
    <w:p w14:paraId="3D2049C3" w14:textId="77777777" w:rsidR="002C29E1" w:rsidRPr="00791AF4" w:rsidRDefault="002C29E1" w:rsidP="002C29E1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91AF4">
        <w:rPr>
          <w:rFonts w:ascii="Times New Roman" w:hAnsi="Times New Roman"/>
          <w:shd w:val="clear" w:color="auto" w:fill="FFFFFF"/>
          <w:lang w:eastAsia="ru-RU"/>
        </w:rPr>
        <w:t xml:space="preserve">Выдача технических условий на присоединение к системе централизованного теплоснабжения города Петропавловска временно прекращена согласно уведомления АО «СЕВКАЗЭНЕРГО» исх.№ПС-30-06.2-1325 от 12.04.2022г. в связи с дефицитом тепловой мощности ПТЭЦ-2 АО «СЕВКАЗЭНЕРГО» (дефицит составляет 237,2 Гкал/ч). </w:t>
      </w:r>
    </w:p>
    <w:p w14:paraId="7B9E4533" w14:textId="77777777" w:rsidR="007A43C8" w:rsidRPr="004F024C" w:rsidRDefault="007A43C8" w:rsidP="007B457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1D1AA58" w14:textId="77777777" w:rsidR="00F74C97" w:rsidRPr="004F024C" w:rsidRDefault="00F74C97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4F024C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14:paraId="6380AC56" w14:textId="77777777" w:rsidR="00CA02F5" w:rsidRPr="004F024C" w:rsidRDefault="00CA02F5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5A604C30" w14:textId="2491DBDB" w:rsidR="007A43C8" w:rsidRPr="004F024C" w:rsidRDefault="00F74C97" w:rsidP="008E7F7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val="kk-KZ"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r w:rsidR="00F01001" w:rsidRPr="004F024C">
        <w:rPr>
          <w:rFonts w:ascii="Times New Roman" w:hAnsi="Times New Roman"/>
          <w:shd w:val="clear" w:color="auto" w:fill="FFFFFF"/>
          <w:lang w:eastAsia="ru-RU"/>
        </w:rPr>
        <w:t>согласно антимонопольному законодательству</w:t>
      </w: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. </w:t>
      </w:r>
      <w:r w:rsidR="00C45C42" w:rsidRPr="004F024C">
        <w:rPr>
          <w:rFonts w:ascii="Times New Roman" w:hAnsi="Times New Roman"/>
          <w:shd w:val="clear" w:color="auto" w:fill="FFFFFF"/>
          <w:lang w:eastAsia="ru-RU"/>
        </w:rPr>
        <w:t>Исполнение статей затрат за</w:t>
      </w:r>
      <w:r w:rsidR="00D416F0">
        <w:rPr>
          <w:rFonts w:ascii="Times New Roman" w:hAnsi="Times New Roman"/>
          <w:shd w:val="clear" w:color="auto" w:fill="FFFFFF"/>
          <w:lang w:eastAsia="ru-RU"/>
        </w:rPr>
        <w:t xml:space="preserve"> 1</w:t>
      </w:r>
      <w:r w:rsidR="008D320F">
        <w:rPr>
          <w:rFonts w:ascii="Times New Roman" w:hAnsi="Times New Roman"/>
          <w:shd w:val="clear" w:color="auto" w:fill="FFFFFF"/>
          <w:lang w:eastAsia="ru-RU"/>
        </w:rPr>
        <w:t>-е</w:t>
      </w:r>
      <w:r w:rsidR="00D416F0">
        <w:rPr>
          <w:rFonts w:ascii="Times New Roman" w:hAnsi="Times New Roman"/>
          <w:shd w:val="clear" w:color="auto" w:fill="FFFFFF"/>
          <w:lang w:eastAsia="ru-RU"/>
        </w:rPr>
        <w:t xml:space="preserve"> полугодие</w:t>
      </w:r>
      <w:r w:rsidR="00C45C42" w:rsidRPr="004F024C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B51060" w:rsidRPr="004F024C">
        <w:rPr>
          <w:rFonts w:ascii="Times New Roman" w:hAnsi="Times New Roman"/>
          <w:shd w:val="clear" w:color="auto" w:fill="FFFFFF"/>
          <w:lang w:eastAsia="ru-RU"/>
        </w:rPr>
        <w:t>202</w:t>
      </w:r>
      <w:r w:rsidR="00D416F0">
        <w:rPr>
          <w:rFonts w:ascii="Times New Roman" w:hAnsi="Times New Roman"/>
          <w:shd w:val="clear" w:color="auto" w:fill="FFFFFF"/>
          <w:lang w:eastAsia="ru-RU"/>
        </w:rPr>
        <w:t>2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год</w:t>
      </w:r>
      <w:r w:rsidR="00D416F0">
        <w:rPr>
          <w:rFonts w:ascii="Times New Roman" w:hAnsi="Times New Roman"/>
          <w:shd w:val="clear" w:color="auto" w:fill="FFFFFF"/>
          <w:lang w:eastAsia="ru-RU"/>
        </w:rPr>
        <w:t>а</w:t>
      </w:r>
      <w:r w:rsidR="00DA4CCA" w:rsidRPr="004F024C">
        <w:rPr>
          <w:rFonts w:ascii="Times New Roman" w:hAnsi="Times New Roman"/>
          <w:shd w:val="clear" w:color="auto" w:fill="FFFFFF"/>
          <w:lang w:eastAsia="ru-RU"/>
        </w:rPr>
        <w:t>,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предусмотренных в тарифной смете, утвержденной с 01.01.20</w:t>
      </w:r>
      <w:r w:rsidR="005A6F4C" w:rsidRPr="004F024C">
        <w:rPr>
          <w:rFonts w:ascii="Times New Roman" w:hAnsi="Times New Roman"/>
          <w:shd w:val="clear" w:color="auto" w:fill="FFFFFF"/>
          <w:lang w:eastAsia="ru-RU"/>
        </w:rPr>
        <w:t>21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г. по 31.12.202</w:t>
      </w:r>
      <w:r w:rsidR="005A6F4C" w:rsidRPr="004F024C">
        <w:rPr>
          <w:rFonts w:ascii="Times New Roman" w:hAnsi="Times New Roman"/>
          <w:shd w:val="clear" w:color="auto" w:fill="FFFFFF"/>
          <w:lang w:eastAsia="ru-RU"/>
        </w:rPr>
        <w:t>5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г., для оказания услуг по передаче и распределению тепловой энергии, представлены ниже.</w:t>
      </w:r>
    </w:p>
    <w:p w14:paraId="3B57C254" w14:textId="77777777" w:rsidR="007A43C8" w:rsidRPr="004F024C" w:rsidRDefault="007A43C8" w:rsidP="008E7F7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35A9BF2" w14:textId="2B95A752" w:rsidR="00D46259" w:rsidRPr="004F024C" w:rsidRDefault="006878D3" w:rsidP="008E7F7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4F024C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регулируемые услуги                                                                       по ТОО "Петро</w:t>
      </w:r>
      <w:r w:rsidR="007453B4" w:rsidRPr="004F024C">
        <w:rPr>
          <w:rFonts w:ascii="Times New Roman" w:hAnsi="Times New Roman"/>
          <w:b/>
          <w:shd w:val="clear" w:color="auto" w:fill="FFFFFF"/>
          <w:lang w:eastAsia="ru-RU"/>
        </w:rPr>
        <w:t>павловские Те</w:t>
      </w:r>
      <w:r w:rsidR="009F1627" w:rsidRPr="004F024C">
        <w:rPr>
          <w:rFonts w:ascii="Times New Roman" w:hAnsi="Times New Roman"/>
          <w:b/>
          <w:shd w:val="clear" w:color="auto" w:fill="FFFFFF"/>
          <w:lang w:eastAsia="ru-RU"/>
        </w:rPr>
        <w:t xml:space="preserve">пловые Сети" </w:t>
      </w:r>
      <w:r w:rsidR="0041194F">
        <w:rPr>
          <w:rFonts w:ascii="Times New Roman" w:hAnsi="Times New Roman"/>
          <w:b/>
          <w:shd w:val="clear" w:color="auto" w:fill="FFFFFF"/>
          <w:lang w:eastAsia="ru-RU"/>
        </w:rPr>
        <w:t>за 1 полугодие 202</w:t>
      </w:r>
      <w:r w:rsidR="0041194F">
        <w:rPr>
          <w:rFonts w:ascii="Times New Roman" w:hAnsi="Times New Roman"/>
          <w:b/>
          <w:shd w:val="clear" w:color="auto" w:fill="FFFFFF"/>
          <w:lang w:val="kk-KZ" w:eastAsia="ru-RU"/>
        </w:rPr>
        <w:t>2</w:t>
      </w:r>
      <w:r w:rsidR="0041194F"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</w:t>
      </w:r>
      <w:r w:rsidR="0041194F">
        <w:rPr>
          <w:rFonts w:ascii="Times New Roman" w:hAnsi="Times New Roman"/>
          <w:b/>
          <w:shd w:val="clear" w:color="auto" w:fill="FFFFFF"/>
          <w:lang w:eastAsia="ru-RU"/>
        </w:rPr>
        <w:t>а</w:t>
      </w:r>
      <w:r w:rsidR="0041194F"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  </w:t>
      </w:r>
    </w:p>
    <w:p w14:paraId="284D780B" w14:textId="3F030840" w:rsidR="00122D87" w:rsidRPr="004F024C" w:rsidRDefault="00122D87" w:rsidP="00A35A8F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11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970"/>
        <w:gridCol w:w="1168"/>
        <w:gridCol w:w="1667"/>
        <w:gridCol w:w="2126"/>
        <w:gridCol w:w="1055"/>
        <w:gridCol w:w="1420"/>
      </w:tblGrid>
      <w:tr w:rsidR="00CE0C1D" w:rsidRPr="00CE0C1D" w14:paraId="75AB26AC" w14:textId="77777777" w:rsidTr="002939AB">
        <w:trPr>
          <w:trHeight w:val="810"/>
        </w:trPr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14:paraId="7A568F1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</w:t>
            </w:r>
            <w:proofErr w:type="spellStart"/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0" w:type="dxa"/>
            <w:vMerge w:val="restart"/>
            <w:shd w:val="clear" w:color="000000" w:fill="FFFFFF"/>
            <w:vAlign w:val="center"/>
            <w:hideMark/>
          </w:tcPr>
          <w:p w14:paraId="65BC74D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показателей   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  <w:hideMark/>
          </w:tcPr>
          <w:p w14:paraId="09DB565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                                       </w:t>
            </w:r>
            <w:proofErr w:type="spellStart"/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667" w:type="dxa"/>
            <w:vMerge w:val="restart"/>
            <w:shd w:val="clear" w:color="000000" w:fill="FFFFFF"/>
            <w:vAlign w:val="center"/>
            <w:hideMark/>
          </w:tcPr>
          <w:p w14:paraId="3E8B1EB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7A2642A5" w14:textId="134245CA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 </w:t>
            </w:r>
            <w:r w:rsidR="002939AB"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сложившиеся показатели</w:t>
            </w: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тарифной сметы за 1-е полугодие 2022 года</w:t>
            </w:r>
          </w:p>
        </w:tc>
        <w:tc>
          <w:tcPr>
            <w:tcW w:w="2475" w:type="dxa"/>
            <w:gridSpan w:val="2"/>
            <w:shd w:val="clear" w:color="000000" w:fill="FFFFFF"/>
            <w:vAlign w:val="center"/>
            <w:hideMark/>
          </w:tcPr>
          <w:p w14:paraId="28D7B0E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</w:tr>
      <w:tr w:rsidR="002939AB" w:rsidRPr="00CE0C1D" w14:paraId="38FC6A9C" w14:textId="77777777" w:rsidTr="002939AB">
        <w:trPr>
          <w:trHeight w:val="211"/>
        </w:trPr>
        <w:tc>
          <w:tcPr>
            <w:tcW w:w="716" w:type="dxa"/>
            <w:vMerge/>
            <w:vAlign w:val="center"/>
            <w:hideMark/>
          </w:tcPr>
          <w:p w14:paraId="41F785A0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vMerge/>
            <w:vAlign w:val="center"/>
            <w:hideMark/>
          </w:tcPr>
          <w:p w14:paraId="4FCE2FC1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40AD6C8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EDE7E11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897099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559027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C1343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(+/-)</w:t>
            </w:r>
          </w:p>
        </w:tc>
      </w:tr>
      <w:tr w:rsidR="002939AB" w:rsidRPr="00CE0C1D" w14:paraId="445CAF4D" w14:textId="77777777" w:rsidTr="002845E3">
        <w:trPr>
          <w:trHeight w:val="191"/>
        </w:trPr>
        <w:tc>
          <w:tcPr>
            <w:tcW w:w="716" w:type="dxa"/>
            <w:shd w:val="clear" w:color="auto" w:fill="auto"/>
            <w:vAlign w:val="center"/>
            <w:hideMark/>
          </w:tcPr>
          <w:p w14:paraId="4692B39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500AEA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6390DB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5D0FA07" w14:textId="20018FF8" w:rsidR="00CE0C1D" w:rsidRPr="00CE0C1D" w:rsidRDefault="002845E3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14CDBC" w14:textId="76FCDD28" w:rsidR="00CE0C1D" w:rsidRPr="00CE0C1D" w:rsidRDefault="002845E3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E0C1D"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3225946B" w14:textId="167FC043" w:rsidR="00CE0C1D" w:rsidRPr="00CE0C1D" w:rsidRDefault="002845E3" w:rsidP="00284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BB8EA8" w14:textId="3DFF7DAB" w:rsidR="00CE0C1D" w:rsidRPr="00CE0C1D" w:rsidRDefault="002845E3" w:rsidP="00284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2939AB" w:rsidRPr="00CE0C1D" w14:paraId="07BDB725" w14:textId="77777777" w:rsidTr="002939AB">
        <w:trPr>
          <w:trHeight w:val="630"/>
        </w:trPr>
        <w:tc>
          <w:tcPr>
            <w:tcW w:w="716" w:type="dxa"/>
            <w:shd w:val="clear" w:color="auto" w:fill="auto"/>
            <w:vAlign w:val="center"/>
            <w:hideMark/>
          </w:tcPr>
          <w:p w14:paraId="32BE08D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F671C11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1AC95D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4FD0E8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2 989 613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233E8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1 403 951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220FE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C871A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-1 585 662</w:t>
            </w:r>
          </w:p>
        </w:tc>
      </w:tr>
      <w:tr w:rsidR="002939AB" w:rsidRPr="00CE0C1D" w14:paraId="1CF76524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1427A9E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AD19B8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BC080C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31969C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FC9B9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5E9B99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817F2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7E23DAED" w14:textId="77777777" w:rsidTr="002939AB">
        <w:trPr>
          <w:trHeight w:val="450"/>
        </w:trPr>
        <w:tc>
          <w:tcPr>
            <w:tcW w:w="716" w:type="dxa"/>
            <w:shd w:val="clear" w:color="auto" w:fill="auto"/>
            <w:vAlign w:val="center"/>
            <w:hideMark/>
          </w:tcPr>
          <w:p w14:paraId="59EFE07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83B6A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20435E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694F96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1 330 767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316CB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638 230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F238E9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19A2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-692 537</w:t>
            </w:r>
          </w:p>
        </w:tc>
      </w:tr>
      <w:tr w:rsidR="002939AB" w:rsidRPr="00CE0C1D" w14:paraId="549B53A5" w14:textId="77777777" w:rsidTr="003B4E50">
        <w:trPr>
          <w:trHeight w:val="159"/>
        </w:trPr>
        <w:tc>
          <w:tcPr>
            <w:tcW w:w="716" w:type="dxa"/>
            <w:shd w:val="clear" w:color="auto" w:fill="auto"/>
            <w:vAlign w:val="center"/>
            <w:hideMark/>
          </w:tcPr>
          <w:p w14:paraId="4092B39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00FE60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C2B842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C7915B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42257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0A4B50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C1A31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6DD4B86D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65E4BF0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38234F6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5366FA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466FD1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25 489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07380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5 147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5FCA5D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-79,8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728E9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-20 342</w:t>
            </w:r>
          </w:p>
        </w:tc>
      </w:tr>
      <w:tr w:rsidR="002939AB" w:rsidRPr="00CE0C1D" w14:paraId="07890688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14B426A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E3CCF6E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DEE903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41F855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314 796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4B420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217 064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A3013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-31,0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6FC29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-97 732</w:t>
            </w:r>
          </w:p>
        </w:tc>
      </w:tr>
      <w:tr w:rsidR="002939AB" w:rsidRPr="00CE0C1D" w14:paraId="0D242AFF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2ECC438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D48889B" w14:textId="465BD71D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затраты на подпитку тепловой сети (ХОВ)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ADA35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A5FEBF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45 757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ED294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19 581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155062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-57,2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DA921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-26 176</w:t>
            </w:r>
          </w:p>
        </w:tc>
      </w:tr>
      <w:tr w:rsidR="002939AB" w:rsidRPr="00CE0C1D" w14:paraId="4DF85B93" w14:textId="77777777" w:rsidTr="002939AB">
        <w:trPr>
          <w:trHeight w:val="735"/>
        </w:trPr>
        <w:tc>
          <w:tcPr>
            <w:tcW w:w="716" w:type="dxa"/>
            <w:shd w:val="clear" w:color="auto" w:fill="auto"/>
            <w:vAlign w:val="center"/>
            <w:hideMark/>
          </w:tcPr>
          <w:p w14:paraId="3F921E8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3AADD9D" w14:textId="150071CB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D04BA6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9710B7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944 725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D1B79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396 438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87CC9C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-58,0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560B3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-548 287</w:t>
            </w:r>
          </w:p>
        </w:tc>
      </w:tr>
      <w:tr w:rsidR="002939AB" w:rsidRPr="00CE0C1D" w14:paraId="2D1E15B9" w14:textId="77777777" w:rsidTr="002939AB">
        <w:trPr>
          <w:trHeight w:val="345"/>
        </w:trPr>
        <w:tc>
          <w:tcPr>
            <w:tcW w:w="716" w:type="dxa"/>
            <w:shd w:val="clear" w:color="auto" w:fill="auto"/>
            <w:vAlign w:val="center"/>
            <w:hideMark/>
          </w:tcPr>
          <w:p w14:paraId="4BDDEB2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B92D4FE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B01D2F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40080F0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420 712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352E3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215 847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33B20C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-48,7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64D3C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-204 865</w:t>
            </w:r>
          </w:p>
        </w:tc>
      </w:tr>
      <w:tr w:rsidR="002939AB" w:rsidRPr="00CE0C1D" w14:paraId="47A67395" w14:textId="77777777" w:rsidTr="003B4E50">
        <w:trPr>
          <w:trHeight w:val="138"/>
        </w:trPr>
        <w:tc>
          <w:tcPr>
            <w:tcW w:w="716" w:type="dxa"/>
            <w:shd w:val="clear" w:color="auto" w:fill="auto"/>
            <w:vAlign w:val="center"/>
            <w:hideMark/>
          </w:tcPr>
          <w:p w14:paraId="7634212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8E9229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2E20A0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4A66C7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9C734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FFFB81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46653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075B9E28" w14:textId="77777777" w:rsidTr="002939AB">
        <w:trPr>
          <w:trHeight w:val="420"/>
        </w:trPr>
        <w:tc>
          <w:tcPr>
            <w:tcW w:w="716" w:type="dxa"/>
            <w:shd w:val="clear" w:color="auto" w:fill="auto"/>
            <w:vAlign w:val="center"/>
            <w:hideMark/>
          </w:tcPr>
          <w:p w14:paraId="57ACEB3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FC8F095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C235C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7970A1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375 725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6AB75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192 868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108A48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-48,7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9BB42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-182 857</w:t>
            </w:r>
          </w:p>
        </w:tc>
      </w:tr>
      <w:tr w:rsidR="002939AB" w:rsidRPr="00CE0C1D" w14:paraId="2D768096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60CF116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2DBE1C8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8717A1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464B1C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32 124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05C4D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16 393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65E1F6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-49,0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E6EF4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-15 731</w:t>
            </w:r>
          </w:p>
        </w:tc>
      </w:tr>
      <w:tr w:rsidR="002939AB" w:rsidRPr="00CE0C1D" w14:paraId="599F6329" w14:textId="77777777" w:rsidTr="003B4E50">
        <w:trPr>
          <w:trHeight w:val="383"/>
        </w:trPr>
        <w:tc>
          <w:tcPr>
            <w:tcW w:w="716" w:type="dxa"/>
            <w:shd w:val="clear" w:color="auto" w:fill="auto"/>
            <w:vAlign w:val="center"/>
            <w:hideMark/>
          </w:tcPr>
          <w:p w14:paraId="362FD5C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4283017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4C9E08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FB7BD1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11 272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DED72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5 625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DF1CAD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-50,1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00613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-5 647</w:t>
            </w:r>
          </w:p>
        </w:tc>
      </w:tr>
      <w:tr w:rsidR="002939AB" w:rsidRPr="00CE0C1D" w14:paraId="758D6FCC" w14:textId="77777777" w:rsidTr="002939AB">
        <w:trPr>
          <w:trHeight w:val="705"/>
        </w:trPr>
        <w:tc>
          <w:tcPr>
            <w:tcW w:w="716" w:type="dxa"/>
            <w:shd w:val="clear" w:color="auto" w:fill="auto"/>
            <w:vAlign w:val="center"/>
            <w:hideMark/>
          </w:tcPr>
          <w:p w14:paraId="52ABFB6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D97524" w14:textId="70A0646F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36FB92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01FB7A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D6813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F2860F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-39,6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1BD37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-630</w:t>
            </w:r>
          </w:p>
        </w:tc>
      </w:tr>
      <w:tr w:rsidR="002939AB" w:rsidRPr="00CE0C1D" w14:paraId="094FA99A" w14:textId="77777777" w:rsidTr="002939AB">
        <w:trPr>
          <w:trHeight w:val="675"/>
        </w:trPr>
        <w:tc>
          <w:tcPr>
            <w:tcW w:w="716" w:type="dxa"/>
            <w:shd w:val="clear" w:color="auto" w:fill="auto"/>
            <w:vAlign w:val="center"/>
            <w:hideMark/>
          </w:tcPr>
          <w:p w14:paraId="4E06DC0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338FD8" w14:textId="4EB64A96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D223E1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5B5C70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606 515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A2734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231 272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82D22B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-61,9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98A71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-375 243</w:t>
            </w:r>
          </w:p>
        </w:tc>
      </w:tr>
      <w:tr w:rsidR="002939AB" w:rsidRPr="00CE0C1D" w14:paraId="099ADF13" w14:textId="77777777" w:rsidTr="003B4E50">
        <w:trPr>
          <w:trHeight w:val="431"/>
        </w:trPr>
        <w:tc>
          <w:tcPr>
            <w:tcW w:w="716" w:type="dxa"/>
            <w:shd w:val="clear" w:color="auto" w:fill="auto"/>
            <w:vAlign w:val="center"/>
            <w:hideMark/>
          </w:tcPr>
          <w:p w14:paraId="502A36E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896ACC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Ремонт, всего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8D3125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474562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537 770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1AAE7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262 085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0A445A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-51,3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10EE8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-275 685</w:t>
            </w:r>
          </w:p>
        </w:tc>
      </w:tr>
      <w:tr w:rsidR="002939AB" w:rsidRPr="00CE0C1D" w14:paraId="190BAC63" w14:textId="77777777" w:rsidTr="003B4E50">
        <w:trPr>
          <w:trHeight w:val="125"/>
        </w:trPr>
        <w:tc>
          <w:tcPr>
            <w:tcW w:w="716" w:type="dxa"/>
            <w:shd w:val="clear" w:color="auto" w:fill="auto"/>
            <w:vAlign w:val="center"/>
            <w:hideMark/>
          </w:tcPr>
          <w:p w14:paraId="156C9A5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268FB08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073211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BC88E1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004EC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EDA8E7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976BB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0462E236" w14:textId="77777777" w:rsidTr="002939AB">
        <w:trPr>
          <w:trHeight w:val="630"/>
        </w:trPr>
        <w:tc>
          <w:tcPr>
            <w:tcW w:w="716" w:type="dxa"/>
            <w:shd w:val="clear" w:color="auto" w:fill="auto"/>
            <w:vAlign w:val="center"/>
            <w:hideMark/>
          </w:tcPr>
          <w:p w14:paraId="6FE11D3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29C8BA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0065F0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F77CEF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537 770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4B50D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262 085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E68242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-51,3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40289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-275 685</w:t>
            </w:r>
          </w:p>
        </w:tc>
      </w:tr>
      <w:tr w:rsidR="002939AB" w:rsidRPr="00CE0C1D" w14:paraId="48E8F5B3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608CD68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0FF47C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D22E5E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EDBADB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93 849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A4C9D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56 517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8E0B81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-39,8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041D6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-37 332</w:t>
            </w:r>
          </w:p>
        </w:tc>
      </w:tr>
      <w:tr w:rsidR="002939AB" w:rsidRPr="00CE0C1D" w14:paraId="5475464E" w14:textId="77777777" w:rsidTr="003B4E50">
        <w:trPr>
          <w:trHeight w:val="143"/>
        </w:trPr>
        <w:tc>
          <w:tcPr>
            <w:tcW w:w="716" w:type="dxa"/>
            <w:shd w:val="clear" w:color="auto" w:fill="auto"/>
            <w:vAlign w:val="center"/>
            <w:hideMark/>
          </w:tcPr>
          <w:p w14:paraId="2C26A27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13402FA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36316C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B6E721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1CB2D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30639C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E24B7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6AD8D867" w14:textId="77777777" w:rsidTr="002939AB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14:paraId="3216FBC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6C5A1D0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6DD7BF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9E9463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62 737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376826" w14:textId="2E1EE003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39 412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9A34E2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-37,2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FADC0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-23 325</w:t>
            </w:r>
          </w:p>
        </w:tc>
      </w:tr>
      <w:tr w:rsidR="002939AB" w:rsidRPr="00CE0C1D" w14:paraId="036E9739" w14:textId="77777777" w:rsidTr="003B4E50">
        <w:trPr>
          <w:trHeight w:val="139"/>
        </w:trPr>
        <w:tc>
          <w:tcPr>
            <w:tcW w:w="716" w:type="dxa"/>
            <w:shd w:val="clear" w:color="auto" w:fill="auto"/>
            <w:vAlign w:val="center"/>
            <w:hideMark/>
          </w:tcPr>
          <w:p w14:paraId="1BF2E70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095918B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4FD5C7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6D0E1F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79F5C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FD5E75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18187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1DFE03C6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44AC15F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D3574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стороннего транспорта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EC93C7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921F8C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58 474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529A4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38 691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6F56C6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-33,8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4CD11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-19 783</w:t>
            </w:r>
          </w:p>
        </w:tc>
      </w:tr>
      <w:tr w:rsidR="002939AB" w:rsidRPr="00CE0C1D" w14:paraId="306504AD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4E3810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DA817A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поверка тепловых счетчиков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7A5F02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3FBB36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1F6EE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2EF96D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7ADC6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-336</w:t>
            </w:r>
          </w:p>
        </w:tc>
      </w:tr>
      <w:tr w:rsidR="002939AB" w:rsidRPr="00CE0C1D" w14:paraId="305D6CA7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2E71245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58CAA26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по испытанию </w:t>
            </w: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эл.оборудования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0684DA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C77849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27546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FDEA7E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DBF54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-567</w:t>
            </w:r>
          </w:p>
        </w:tc>
      </w:tr>
      <w:tr w:rsidR="002939AB" w:rsidRPr="00CE0C1D" w14:paraId="08EAA8D5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0B1DFD9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8954E50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поверка приборов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2EA141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911F66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266F7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A8DE0F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FD712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-940</w:t>
            </w:r>
          </w:p>
        </w:tc>
      </w:tr>
      <w:tr w:rsidR="002939AB" w:rsidRPr="00CE0C1D" w14:paraId="151EE087" w14:textId="77777777" w:rsidTr="003B4E50">
        <w:trPr>
          <w:trHeight w:val="446"/>
        </w:trPr>
        <w:tc>
          <w:tcPr>
            <w:tcW w:w="716" w:type="dxa"/>
            <w:shd w:val="clear" w:color="auto" w:fill="auto"/>
            <w:vAlign w:val="center"/>
            <w:hideMark/>
          </w:tcPr>
          <w:p w14:paraId="2D5BA7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3C8FC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поверка </w:t>
            </w: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эл.счетчиков</w:t>
            </w:r>
            <w:proofErr w:type="spellEnd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, трансформаторов тока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E65CA9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21B081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12E58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9FD21B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03855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-18</w:t>
            </w:r>
          </w:p>
        </w:tc>
      </w:tr>
      <w:tr w:rsidR="002939AB" w:rsidRPr="00CE0C1D" w14:paraId="7E1F928C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5C985BE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C0B9ED6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технической экспертизы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4D96EB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479C07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DA835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2ED1A6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-53,7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1A1EE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-835</w:t>
            </w:r>
          </w:p>
        </w:tc>
      </w:tr>
      <w:tr w:rsidR="002939AB" w:rsidRPr="00CE0C1D" w14:paraId="03FD5FE8" w14:textId="77777777" w:rsidTr="003B4E50">
        <w:trPr>
          <w:trHeight w:val="486"/>
        </w:trPr>
        <w:tc>
          <w:tcPr>
            <w:tcW w:w="716" w:type="dxa"/>
            <w:shd w:val="clear" w:color="auto" w:fill="auto"/>
            <w:vAlign w:val="center"/>
            <w:hideMark/>
          </w:tcPr>
          <w:p w14:paraId="1C460BE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6429CDE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сбор за размещение отходов производства и потребления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488BA3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C5D2B2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4D0FB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061DC0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435AC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-66</w:t>
            </w:r>
          </w:p>
        </w:tc>
      </w:tr>
      <w:tr w:rsidR="002939AB" w:rsidRPr="00CE0C1D" w14:paraId="0100EFDA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2A54E6D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28188D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ремонту оборудования связи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B42A24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6585B7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B94CE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DC90D7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177C1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9AB" w:rsidRPr="00CE0C1D" w14:paraId="5A7E88EA" w14:textId="77777777" w:rsidTr="002939AB">
        <w:trPr>
          <w:trHeight w:val="720"/>
        </w:trPr>
        <w:tc>
          <w:tcPr>
            <w:tcW w:w="716" w:type="dxa"/>
            <w:shd w:val="clear" w:color="auto" w:fill="auto"/>
            <w:vAlign w:val="center"/>
            <w:hideMark/>
          </w:tcPr>
          <w:p w14:paraId="1BFE421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5.1.9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439E8D7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CA62A7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DB86C8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27CC2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CD104D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B25BF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-780</w:t>
            </w:r>
          </w:p>
        </w:tc>
      </w:tr>
      <w:tr w:rsidR="002939AB" w:rsidRPr="00CE0C1D" w14:paraId="4CE52D69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43575AB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93FF2EE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5573CC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2EC3472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31 112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8C96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17 105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07D54F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30A98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-14 007</w:t>
            </w:r>
          </w:p>
        </w:tc>
      </w:tr>
      <w:tr w:rsidR="002939AB" w:rsidRPr="00CE0C1D" w14:paraId="539ADF27" w14:textId="77777777" w:rsidTr="003B4E50">
        <w:trPr>
          <w:trHeight w:val="175"/>
        </w:trPr>
        <w:tc>
          <w:tcPr>
            <w:tcW w:w="716" w:type="dxa"/>
            <w:shd w:val="clear" w:color="auto" w:fill="auto"/>
            <w:vAlign w:val="center"/>
            <w:hideMark/>
          </w:tcPr>
          <w:p w14:paraId="0F0BEEE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D92B59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160D2D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A85765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18F71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1CB016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015EB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3971EB9C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776FCB1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CFD940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вода и канализация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ECE2B4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65EA05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4 652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397B1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2 858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333697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-38,6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619A8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-1 794</w:t>
            </w:r>
          </w:p>
        </w:tc>
      </w:tr>
      <w:tr w:rsidR="002939AB" w:rsidRPr="00CE0C1D" w14:paraId="3F97DDEE" w14:textId="77777777" w:rsidTr="002939AB">
        <w:trPr>
          <w:trHeight w:val="675"/>
        </w:trPr>
        <w:tc>
          <w:tcPr>
            <w:tcW w:w="716" w:type="dxa"/>
            <w:shd w:val="clear" w:color="auto" w:fill="auto"/>
            <w:vAlign w:val="center"/>
            <w:hideMark/>
          </w:tcPr>
          <w:p w14:paraId="62688CD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FF03E1E" w14:textId="53579C46" w:rsidR="00CE0C1D" w:rsidRPr="00CE0C1D" w:rsidRDefault="00CE0C1D" w:rsidP="00CE0C1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E0C1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выплаты работникам имеющим разъездной характер в пределах обслуживания г. Петропавловска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E8BE43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7BEA0E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1 682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2F2A4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7761C3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-52,5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265B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-883</w:t>
            </w:r>
          </w:p>
        </w:tc>
      </w:tr>
      <w:tr w:rsidR="002939AB" w:rsidRPr="00CE0C1D" w14:paraId="1E3BB614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4029C46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D5FC409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DF05E5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9601DF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12 320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6AC8B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7 608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6A3574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-38,2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58BC4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-4 712</w:t>
            </w:r>
          </w:p>
        </w:tc>
      </w:tr>
      <w:tr w:rsidR="002939AB" w:rsidRPr="00CE0C1D" w14:paraId="4460FA13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73C4DF4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2B6819B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вывозу промышленного мусора и ТБО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E96F6D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08886A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2 470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A2616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1 994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07F70C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-19,3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1568C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-476</w:t>
            </w:r>
          </w:p>
        </w:tc>
      </w:tr>
      <w:tr w:rsidR="002939AB" w:rsidRPr="00CE0C1D" w14:paraId="20013925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576680B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26405A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23AB5F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163585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41B1E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25243F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-47,7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05D67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-339</w:t>
            </w:r>
          </w:p>
        </w:tc>
      </w:tr>
      <w:tr w:rsidR="002939AB" w:rsidRPr="00CE0C1D" w14:paraId="68BF7AD9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69FA16D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4AD3C7" w14:textId="6C00F945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товары, бланочная продукция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3AB506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E3995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30088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7C323F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-42,7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47922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-829</w:t>
            </w:r>
          </w:p>
        </w:tc>
      </w:tr>
      <w:tr w:rsidR="002939AB" w:rsidRPr="00CE0C1D" w14:paraId="3B9500C1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14D8C10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A712BF6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эмиссии в окружающую среду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2B06C1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52F5B2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C9259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3B2CDD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-51,5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8FAAB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-34</w:t>
            </w:r>
          </w:p>
        </w:tc>
      </w:tr>
      <w:tr w:rsidR="002939AB" w:rsidRPr="00CE0C1D" w14:paraId="7868977F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5E4AB0A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268980A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расходные материалы к оргтехнике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19DA48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7BCBFD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1909F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EA0985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01C17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-691</w:t>
            </w:r>
          </w:p>
        </w:tc>
      </w:tr>
      <w:tr w:rsidR="002939AB" w:rsidRPr="00CE0C1D" w14:paraId="38112901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5F88E11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130163C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пожарно</w:t>
            </w:r>
            <w:proofErr w:type="spellEnd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оперативное обслуживание объектов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CD1BE5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57FA81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60FCD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CD150B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-46,5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12AA0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-363</w:t>
            </w:r>
          </w:p>
        </w:tc>
      </w:tr>
      <w:tr w:rsidR="002939AB" w:rsidRPr="00CE0C1D" w14:paraId="366459C0" w14:textId="77777777" w:rsidTr="003B4E50">
        <w:trPr>
          <w:trHeight w:val="508"/>
        </w:trPr>
        <w:tc>
          <w:tcPr>
            <w:tcW w:w="716" w:type="dxa"/>
            <w:shd w:val="clear" w:color="auto" w:fill="auto"/>
            <w:vAlign w:val="center"/>
            <w:hideMark/>
          </w:tcPr>
          <w:p w14:paraId="055EE52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5.2.10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488EDB2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4137CD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AA8056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E482C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B7A133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40EA2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</w:tr>
      <w:tr w:rsidR="002939AB" w:rsidRPr="00CE0C1D" w14:paraId="1804427B" w14:textId="77777777" w:rsidTr="003B4E50">
        <w:trPr>
          <w:trHeight w:val="403"/>
        </w:trPr>
        <w:tc>
          <w:tcPr>
            <w:tcW w:w="716" w:type="dxa"/>
            <w:shd w:val="clear" w:color="auto" w:fill="auto"/>
            <w:vAlign w:val="center"/>
            <w:hideMark/>
          </w:tcPr>
          <w:p w14:paraId="42D3E45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5.2.11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5EB5297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почтово-телеграфные услуги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FCC502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C2BFE8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D12FE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A27921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-78,1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1CB97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-25</w:t>
            </w:r>
          </w:p>
        </w:tc>
      </w:tr>
      <w:tr w:rsidR="002939AB" w:rsidRPr="00CE0C1D" w14:paraId="0E459FC0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7677355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5.2.12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645F71D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и подготовка кадров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525E97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A7AD44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2E4AE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BFD93E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20FAE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-742</w:t>
            </w:r>
          </w:p>
        </w:tc>
      </w:tr>
      <w:tr w:rsidR="002939AB" w:rsidRPr="00CE0C1D" w14:paraId="698C1428" w14:textId="77777777" w:rsidTr="002939AB">
        <w:trPr>
          <w:trHeight w:val="945"/>
        </w:trPr>
        <w:tc>
          <w:tcPr>
            <w:tcW w:w="716" w:type="dxa"/>
            <w:shd w:val="clear" w:color="auto" w:fill="auto"/>
            <w:vAlign w:val="center"/>
            <w:hideMark/>
          </w:tcPr>
          <w:p w14:paraId="200E2E9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5.2.13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B1E2647" w14:textId="77B7AD6C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Обязательное 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EAF605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90EB3D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4 303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15B2E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1 869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F7CBDB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-56,6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876DC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-2 434</w:t>
            </w:r>
          </w:p>
        </w:tc>
      </w:tr>
      <w:tr w:rsidR="002939AB" w:rsidRPr="00CE0C1D" w14:paraId="710CF993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DEE35B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5.2.14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8ECE78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аттестация рабочих мест по условиям труда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F93C58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30CE61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E2EBD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C7EBD38" w14:textId="43ECDAAC" w:rsidR="00CE0C1D" w:rsidRPr="00CE0C1D" w:rsidRDefault="002E37DE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2E01E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E0C1D" w:rsidRPr="00CE0C1D" w14:paraId="57BEC4A8" w14:textId="77777777" w:rsidTr="002939AB">
        <w:trPr>
          <w:trHeight w:val="630"/>
        </w:trPr>
        <w:tc>
          <w:tcPr>
            <w:tcW w:w="716" w:type="dxa"/>
            <w:shd w:val="clear" w:color="000000" w:fill="FFFFFF"/>
            <w:vAlign w:val="center"/>
            <w:hideMark/>
          </w:tcPr>
          <w:p w14:paraId="19CF6EB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5.2.15</w:t>
            </w:r>
          </w:p>
        </w:tc>
        <w:tc>
          <w:tcPr>
            <w:tcW w:w="2970" w:type="dxa"/>
            <w:shd w:val="clear" w:color="000000" w:fill="FFFFFF"/>
            <w:vAlign w:val="center"/>
            <w:hideMark/>
          </w:tcPr>
          <w:p w14:paraId="45D8500E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6840B8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2BBA0E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18636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9A9798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A8CC9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-684</w:t>
            </w:r>
          </w:p>
        </w:tc>
      </w:tr>
      <w:tr w:rsidR="002939AB" w:rsidRPr="00CE0C1D" w14:paraId="0BB83FC6" w14:textId="77777777" w:rsidTr="002939AB">
        <w:trPr>
          <w:trHeight w:val="285"/>
        </w:trPr>
        <w:tc>
          <w:tcPr>
            <w:tcW w:w="716" w:type="dxa"/>
            <w:shd w:val="clear" w:color="auto" w:fill="auto"/>
            <w:vAlign w:val="center"/>
            <w:hideMark/>
          </w:tcPr>
          <w:p w14:paraId="4C8B332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3363C02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периода, всего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2A8CE3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40FC551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617 247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5870C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320 858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AEA4E1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-48,0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C2A81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-296 389</w:t>
            </w:r>
          </w:p>
        </w:tc>
      </w:tr>
      <w:tr w:rsidR="002939AB" w:rsidRPr="00CE0C1D" w14:paraId="03ABFC31" w14:textId="77777777" w:rsidTr="003B4E50">
        <w:trPr>
          <w:trHeight w:val="539"/>
        </w:trPr>
        <w:tc>
          <w:tcPr>
            <w:tcW w:w="716" w:type="dxa"/>
            <w:shd w:val="clear" w:color="auto" w:fill="auto"/>
            <w:vAlign w:val="center"/>
            <w:hideMark/>
          </w:tcPr>
          <w:p w14:paraId="36733D3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E010A60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Общие административные расходы, всего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8F7EE1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A7529A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224 379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CB512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54 968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1F4C6B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-75,5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7939D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-169 411</w:t>
            </w:r>
          </w:p>
        </w:tc>
      </w:tr>
      <w:tr w:rsidR="002939AB" w:rsidRPr="00CE0C1D" w14:paraId="40234C9A" w14:textId="77777777" w:rsidTr="003B4E50">
        <w:trPr>
          <w:trHeight w:val="149"/>
        </w:trPr>
        <w:tc>
          <w:tcPr>
            <w:tcW w:w="716" w:type="dxa"/>
            <w:shd w:val="clear" w:color="auto" w:fill="auto"/>
            <w:vAlign w:val="center"/>
            <w:hideMark/>
          </w:tcPr>
          <w:p w14:paraId="77F6A18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BA01EB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8C869B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B8C73A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3D0C1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F06441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702AB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3F541A7F" w14:textId="77777777" w:rsidTr="003B4E50">
        <w:trPr>
          <w:trHeight w:val="464"/>
        </w:trPr>
        <w:tc>
          <w:tcPr>
            <w:tcW w:w="716" w:type="dxa"/>
            <w:shd w:val="clear" w:color="auto" w:fill="auto"/>
            <w:vAlign w:val="center"/>
            <w:hideMark/>
          </w:tcPr>
          <w:p w14:paraId="253E8A8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B557465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85F439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9B116A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63 781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BDF45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30 712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754270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-51,8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6A9E9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-33 069</w:t>
            </w:r>
          </w:p>
        </w:tc>
      </w:tr>
      <w:tr w:rsidR="002939AB" w:rsidRPr="00CE0C1D" w14:paraId="6A619DAD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188940B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484B0BA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17CC04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9E8AB5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5 453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033DF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D6D207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-51,7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8473F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-2 820</w:t>
            </w:r>
          </w:p>
        </w:tc>
      </w:tr>
      <w:tr w:rsidR="002939AB" w:rsidRPr="00CE0C1D" w14:paraId="1EF3FD1A" w14:textId="77777777" w:rsidTr="003B4E50">
        <w:trPr>
          <w:trHeight w:val="378"/>
        </w:trPr>
        <w:tc>
          <w:tcPr>
            <w:tcW w:w="716" w:type="dxa"/>
            <w:shd w:val="clear" w:color="auto" w:fill="auto"/>
            <w:vAlign w:val="center"/>
            <w:hideMark/>
          </w:tcPr>
          <w:p w14:paraId="3DEAD2A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A15F6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DD719A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001523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BC341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827390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-55,9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C3F0A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-1 069</w:t>
            </w:r>
          </w:p>
        </w:tc>
      </w:tr>
      <w:tr w:rsidR="002939AB" w:rsidRPr="00CE0C1D" w14:paraId="28AC588C" w14:textId="77777777" w:rsidTr="003B4E50">
        <w:trPr>
          <w:trHeight w:val="484"/>
        </w:trPr>
        <w:tc>
          <w:tcPr>
            <w:tcW w:w="716" w:type="dxa"/>
            <w:shd w:val="clear" w:color="auto" w:fill="auto"/>
            <w:vAlign w:val="center"/>
            <w:hideMark/>
          </w:tcPr>
          <w:p w14:paraId="11419E6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D665B44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имущество, налог на землю, плата за землю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C7F99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4C0324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153 232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55049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20 779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49DDCF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-86,4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31B2F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-132 453</w:t>
            </w:r>
          </w:p>
        </w:tc>
      </w:tr>
      <w:tr w:rsidR="002939AB" w:rsidRPr="00CE0C1D" w14:paraId="7736B117" w14:textId="77777777" w:rsidTr="003B4E50">
        <w:trPr>
          <w:trHeight w:val="265"/>
        </w:trPr>
        <w:tc>
          <w:tcPr>
            <w:tcW w:w="716" w:type="dxa"/>
            <w:shd w:val="clear" w:color="auto" w:fill="auto"/>
            <w:vAlign w:val="center"/>
            <w:hideMark/>
          </w:tcPr>
          <w:p w14:paraId="76CDB50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A66991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72CB71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979D2C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18 787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976D0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15 443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93DF4C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-17,8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E3D38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-3 344</w:t>
            </w:r>
          </w:p>
        </w:tc>
      </w:tr>
      <w:tr w:rsidR="002939AB" w:rsidRPr="00CE0C1D" w14:paraId="0777DAFC" w14:textId="77777777" w:rsidTr="003B4E50">
        <w:trPr>
          <w:trHeight w:val="268"/>
        </w:trPr>
        <w:tc>
          <w:tcPr>
            <w:tcW w:w="716" w:type="dxa"/>
            <w:shd w:val="clear" w:color="auto" w:fill="auto"/>
            <w:vAlign w:val="center"/>
            <w:hideMark/>
          </w:tcPr>
          <w:p w14:paraId="0834B16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865B36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566199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8EF4ED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B0DB1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ED299D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6395D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08E6B92D" w14:textId="77777777" w:rsidTr="003B4E50">
        <w:trPr>
          <w:trHeight w:val="414"/>
        </w:trPr>
        <w:tc>
          <w:tcPr>
            <w:tcW w:w="716" w:type="dxa"/>
            <w:shd w:val="clear" w:color="auto" w:fill="auto"/>
            <w:vAlign w:val="center"/>
            <w:hideMark/>
          </w:tcPr>
          <w:p w14:paraId="1C18976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75A99E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F9077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EA092E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31BCD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2 374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C26015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0DFE6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1 285</w:t>
            </w:r>
          </w:p>
        </w:tc>
      </w:tr>
      <w:tr w:rsidR="002939AB" w:rsidRPr="00CE0C1D" w14:paraId="42996CE1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165AA67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EB05EF9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F383E1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BB2C4B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31311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E360BF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75C1D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-495</w:t>
            </w:r>
          </w:p>
        </w:tc>
      </w:tr>
      <w:tr w:rsidR="002939AB" w:rsidRPr="00CE0C1D" w14:paraId="0E9CCE6F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12F2DA8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9B6C211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коммунальные услуги (</w:t>
            </w: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эл.энергия</w:t>
            </w:r>
            <w:proofErr w:type="spellEnd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, отопление)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33FC92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115129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763B5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2D02DD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7B41E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620</w:t>
            </w:r>
          </w:p>
        </w:tc>
      </w:tr>
      <w:tr w:rsidR="002939AB" w:rsidRPr="00CE0C1D" w14:paraId="5861E173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0A827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071042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00789D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C40037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D146C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D94ADF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-46,4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196C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-398</w:t>
            </w:r>
          </w:p>
        </w:tc>
      </w:tr>
      <w:tr w:rsidR="002939AB" w:rsidRPr="00CE0C1D" w14:paraId="5868EAA6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E12E97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693819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3E0B99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F3C56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D62AF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B3B838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-63,8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31893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-139</w:t>
            </w:r>
          </w:p>
        </w:tc>
      </w:tr>
      <w:tr w:rsidR="002939AB" w:rsidRPr="00CE0C1D" w14:paraId="6AAF5C27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4BFED7F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AAF1923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стороннего транспорта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640C5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B3B0B8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13 563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36E9E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10 538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CB7257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-22,3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263AE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-3 025</w:t>
            </w:r>
          </w:p>
        </w:tc>
      </w:tr>
      <w:tr w:rsidR="002939AB" w:rsidRPr="00CE0C1D" w14:paraId="44028384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646F3E0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AA6D2E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72B35C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FBA283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1 735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A5D6E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C31CE0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-63,6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BAD82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-1 104</w:t>
            </w:r>
          </w:p>
        </w:tc>
      </w:tr>
      <w:tr w:rsidR="002939AB" w:rsidRPr="00CE0C1D" w14:paraId="41D94D0F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2F7C3FC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CA6E964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547B1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603126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E696B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F31EB3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1A526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-88</w:t>
            </w:r>
          </w:p>
        </w:tc>
      </w:tr>
      <w:tr w:rsidR="002939AB" w:rsidRPr="00CE0C1D" w14:paraId="436CBE05" w14:textId="77777777" w:rsidTr="002939AB">
        <w:trPr>
          <w:trHeight w:val="375"/>
        </w:trPr>
        <w:tc>
          <w:tcPr>
            <w:tcW w:w="716" w:type="dxa"/>
            <w:shd w:val="clear" w:color="auto" w:fill="auto"/>
            <w:vAlign w:val="center"/>
            <w:hideMark/>
          </w:tcPr>
          <w:p w14:paraId="486DFF0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DDB3CB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A473D1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9FEE2E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54CD4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8 530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A5410B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-54,5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11C98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-10 215</w:t>
            </w:r>
          </w:p>
        </w:tc>
      </w:tr>
      <w:tr w:rsidR="002939AB" w:rsidRPr="00CE0C1D" w14:paraId="216DE629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DC2A35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009B5D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555346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0C8F3F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4437A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C18C5B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6687A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9AB" w:rsidRPr="00CE0C1D" w14:paraId="37F9925B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10236EF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65AD50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товары, бланочная продукция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9B6A1E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E6D7AC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1 049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0BDAB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6D18D3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-62,5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22894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-656</w:t>
            </w:r>
          </w:p>
        </w:tc>
      </w:tr>
      <w:tr w:rsidR="002939AB" w:rsidRPr="00CE0C1D" w14:paraId="332301F1" w14:textId="77777777" w:rsidTr="002939AB">
        <w:trPr>
          <w:trHeight w:val="555"/>
        </w:trPr>
        <w:tc>
          <w:tcPr>
            <w:tcW w:w="716" w:type="dxa"/>
            <w:shd w:val="clear" w:color="auto" w:fill="auto"/>
            <w:vAlign w:val="center"/>
            <w:hideMark/>
          </w:tcPr>
          <w:p w14:paraId="7C7088E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44193BD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использование радиочастотного спектра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2CD709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E64E36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761B5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1031EA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-41,6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BD103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-101</w:t>
            </w:r>
          </w:p>
        </w:tc>
      </w:tr>
      <w:tr w:rsidR="002939AB" w:rsidRPr="00CE0C1D" w14:paraId="4C75978A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610E41B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FC9233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СМИ (объявления)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681A49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694FF1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09F57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1A720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-61,4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955F4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-708</w:t>
            </w:r>
          </w:p>
        </w:tc>
      </w:tr>
      <w:tr w:rsidR="002939AB" w:rsidRPr="00CE0C1D" w14:paraId="4A9465DF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5643540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FCB5DD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расходные материалы к оргтехнике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CD9C72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9B95A4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C8A04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9BA42E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A6443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-257</w:t>
            </w:r>
          </w:p>
        </w:tc>
      </w:tr>
      <w:tr w:rsidR="002939AB" w:rsidRPr="00CE0C1D" w14:paraId="7D0EB3D4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A14FF1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28A0DF6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зданий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546679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900E1C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E3361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49DCD5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-79,7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DA7D8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-59</w:t>
            </w:r>
          </w:p>
        </w:tc>
      </w:tr>
      <w:tr w:rsidR="002939AB" w:rsidRPr="00CE0C1D" w14:paraId="3D132749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815BBB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4CFEE8B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вода и канализация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7FF1CC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0FF75F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5DCB7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0527CC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-28,9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8AA61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-13</w:t>
            </w:r>
          </w:p>
        </w:tc>
      </w:tr>
      <w:tr w:rsidR="002939AB" w:rsidRPr="00CE0C1D" w14:paraId="6588332E" w14:textId="77777777" w:rsidTr="003B4E50">
        <w:trPr>
          <w:trHeight w:val="430"/>
        </w:trPr>
        <w:tc>
          <w:tcPr>
            <w:tcW w:w="716" w:type="dxa"/>
            <w:shd w:val="clear" w:color="auto" w:fill="auto"/>
            <w:vAlign w:val="center"/>
            <w:hideMark/>
          </w:tcPr>
          <w:p w14:paraId="22D6EE5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816841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1893C6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8DE735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FB8E2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58819F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592FB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939AB" w:rsidRPr="00CE0C1D" w14:paraId="5EF539E6" w14:textId="77777777" w:rsidTr="003B4E50">
        <w:trPr>
          <w:trHeight w:val="394"/>
        </w:trPr>
        <w:tc>
          <w:tcPr>
            <w:tcW w:w="716" w:type="dxa"/>
            <w:shd w:val="clear" w:color="auto" w:fill="auto"/>
            <w:vAlign w:val="center"/>
            <w:hideMark/>
          </w:tcPr>
          <w:p w14:paraId="3520524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401ADE9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почтово-</w:t>
            </w: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телеграфские</w:t>
            </w:r>
            <w:proofErr w:type="spellEnd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F7992F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60901D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97D68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60E52A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-42,0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84FD4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-21</w:t>
            </w:r>
          </w:p>
        </w:tc>
      </w:tr>
      <w:tr w:rsidR="002939AB" w:rsidRPr="00CE0C1D" w14:paraId="6872160A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00BB13B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3F0CB58" w14:textId="5C8502F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нотариуса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7B5C3B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322132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4625F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72AA02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4E35C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-48</w:t>
            </w:r>
          </w:p>
        </w:tc>
      </w:tr>
      <w:tr w:rsidR="002939AB" w:rsidRPr="00CE0C1D" w14:paraId="11B897BD" w14:textId="77777777" w:rsidTr="002939AB">
        <w:trPr>
          <w:trHeight w:val="630"/>
        </w:trPr>
        <w:tc>
          <w:tcPr>
            <w:tcW w:w="716" w:type="dxa"/>
            <w:shd w:val="clear" w:color="auto" w:fill="auto"/>
            <w:vAlign w:val="center"/>
            <w:hideMark/>
          </w:tcPr>
          <w:p w14:paraId="7BC47C6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BE5AED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административного персонала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5727C0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40DCCC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76927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FDCB4D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129A5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-145</w:t>
            </w:r>
          </w:p>
        </w:tc>
      </w:tr>
      <w:tr w:rsidR="002939AB" w:rsidRPr="00CE0C1D" w14:paraId="0DC0B0DA" w14:textId="77777777" w:rsidTr="002939AB">
        <w:trPr>
          <w:trHeight w:val="945"/>
        </w:trPr>
        <w:tc>
          <w:tcPr>
            <w:tcW w:w="716" w:type="dxa"/>
            <w:shd w:val="clear" w:color="auto" w:fill="auto"/>
            <w:vAlign w:val="center"/>
            <w:hideMark/>
          </w:tcPr>
          <w:p w14:paraId="71A1D8B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904DBDE" w14:textId="3B046A89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Обязательное 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73D4B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8B5A25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20CBD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43A310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-58,1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77E60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-478</w:t>
            </w:r>
          </w:p>
        </w:tc>
      </w:tr>
      <w:tr w:rsidR="002939AB" w:rsidRPr="00CE0C1D" w14:paraId="17310CFC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344D5CE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6F21596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НТБ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032E52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B8DAB7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F8953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F81C27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0E146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-106</w:t>
            </w:r>
          </w:p>
        </w:tc>
      </w:tr>
      <w:tr w:rsidR="002939AB" w:rsidRPr="00CE0C1D" w14:paraId="0361D542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4FCBCC0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600AE1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охранных предприятий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78E32C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53DE7D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8 444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F4C35B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5 047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F74B2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-40,2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0A1F5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-3 397</w:t>
            </w:r>
          </w:p>
        </w:tc>
      </w:tr>
      <w:tr w:rsidR="002939AB" w:rsidRPr="00CE0C1D" w14:paraId="38D05888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5B3EE75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73EE94D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388F4E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82747A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1 236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F4014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CE191B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A0685C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-516</w:t>
            </w:r>
          </w:p>
        </w:tc>
      </w:tr>
      <w:tr w:rsidR="002939AB" w:rsidRPr="00CE0C1D" w14:paraId="2D7306D8" w14:textId="77777777" w:rsidTr="002939AB">
        <w:trPr>
          <w:trHeight w:val="960"/>
        </w:trPr>
        <w:tc>
          <w:tcPr>
            <w:tcW w:w="716" w:type="dxa"/>
            <w:shd w:val="clear" w:color="auto" w:fill="auto"/>
            <w:vAlign w:val="center"/>
            <w:hideMark/>
          </w:tcPr>
          <w:p w14:paraId="2BE11B5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5E2D2CF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по </w:t>
            </w: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тех.обслуживанию</w:t>
            </w:r>
            <w:proofErr w:type="spellEnd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9BE593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671834D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C6DF2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76C1EF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-33,6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EC688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-227</w:t>
            </w:r>
          </w:p>
        </w:tc>
      </w:tr>
      <w:tr w:rsidR="002939AB" w:rsidRPr="00CE0C1D" w14:paraId="616F0D57" w14:textId="77777777" w:rsidTr="002939AB">
        <w:trPr>
          <w:trHeight w:val="630"/>
        </w:trPr>
        <w:tc>
          <w:tcPr>
            <w:tcW w:w="716" w:type="dxa"/>
            <w:shd w:val="clear" w:color="auto" w:fill="auto"/>
            <w:vAlign w:val="center"/>
            <w:hideMark/>
          </w:tcPr>
          <w:p w14:paraId="30DA535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2BC7717" w14:textId="18163859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проведению энергетического обследования (энергоаудит)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3318D9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F10AFD8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36C5D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65090D1" w14:textId="3BE3096F" w:rsidR="00CE0C1D" w:rsidRPr="00CE0C1D" w:rsidRDefault="002E37DE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D04EE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9AB" w:rsidRPr="00CE0C1D" w14:paraId="7C91ACC0" w14:textId="77777777" w:rsidTr="002939AB">
        <w:trPr>
          <w:trHeight w:val="630"/>
        </w:trPr>
        <w:tc>
          <w:tcPr>
            <w:tcW w:w="716" w:type="dxa"/>
            <w:shd w:val="clear" w:color="auto" w:fill="auto"/>
            <w:vAlign w:val="center"/>
            <w:hideMark/>
          </w:tcPr>
          <w:p w14:paraId="7C5FA94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8.17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CED1CF8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приему ливневых поверхностных и промышленных сточных вод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F7D47C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436CC71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1 451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4E0BA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E20EDA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-37,6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49717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-546</w:t>
            </w:r>
          </w:p>
        </w:tc>
      </w:tr>
      <w:tr w:rsidR="002939AB" w:rsidRPr="00CE0C1D" w14:paraId="4EC0DCDE" w14:textId="77777777" w:rsidTr="002939AB">
        <w:trPr>
          <w:trHeight w:val="1290"/>
        </w:trPr>
        <w:tc>
          <w:tcPr>
            <w:tcW w:w="716" w:type="dxa"/>
            <w:shd w:val="clear" w:color="auto" w:fill="auto"/>
            <w:vAlign w:val="center"/>
            <w:hideMark/>
          </w:tcPr>
          <w:p w14:paraId="7B9D447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8.18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B59BAFD" w14:textId="7E894811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Авторское сопровождение технической </w:t>
            </w: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поддржки</w:t>
            </w:r>
            <w:proofErr w:type="spellEnd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информационной системы теплоснабжающего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предприятия на базе инструментальных средств ИГС "</w:t>
            </w: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CityCom-ТеплоГраф</w:t>
            </w:r>
            <w:proofErr w:type="spellEnd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C6769AF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64E160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2 945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AFA78A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9BB3E4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51589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-2 945</w:t>
            </w:r>
          </w:p>
        </w:tc>
      </w:tr>
      <w:tr w:rsidR="002939AB" w:rsidRPr="00CE0C1D" w14:paraId="1DF4CDB6" w14:textId="77777777" w:rsidTr="003B4E50">
        <w:trPr>
          <w:trHeight w:val="511"/>
        </w:trPr>
        <w:tc>
          <w:tcPr>
            <w:tcW w:w="716" w:type="dxa"/>
            <w:shd w:val="clear" w:color="auto" w:fill="auto"/>
            <w:vAlign w:val="center"/>
            <w:hideMark/>
          </w:tcPr>
          <w:p w14:paraId="57E61114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02A23B4" w14:textId="739EA816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выплату вознаграждений по займу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BA87865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91FA9E2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355 336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C53237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241 917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E24767E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-31,9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E2AC3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-113 419</w:t>
            </w:r>
          </w:p>
        </w:tc>
      </w:tr>
      <w:tr w:rsidR="002939AB" w:rsidRPr="00CE0C1D" w14:paraId="30350255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538486E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E37FFD8" w14:textId="77777777" w:rsidR="00CE0C1D" w:rsidRPr="00CE0C1D" w:rsidRDefault="00CE0C1D" w:rsidP="00CE0C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55ED69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025B1F86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3 606 860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D501C9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1 724 809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B27F60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-52,2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CD39F3" w14:textId="77777777" w:rsidR="00CE0C1D" w:rsidRPr="00CE0C1D" w:rsidRDefault="00CE0C1D" w:rsidP="00CE0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-1 882 051</w:t>
            </w:r>
          </w:p>
        </w:tc>
      </w:tr>
      <w:tr w:rsidR="003B4E50" w:rsidRPr="00CE0C1D" w14:paraId="587C33B8" w14:textId="77777777" w:rsidTr="00065055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7CA755A9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A8E2BFB" w14:textId="77777777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B3A1220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DD63C93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485 255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C36C" w14:textId="1AD73A0A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E50">
              <w:rPr>
                <w:rFonts w:ascii="Times New Roman" w:hAnsi="Times New Roman"/>
                <w:b/>
                <w:bCs/>
                <w:sz w:val="20"/>
                <w:szCs w:val="20"/>
              </w:rPr>
              <w:t>504 819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CEFD" w14:textId="4B04448C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E50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40A80F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08DF" w:rsidRPr="00CE0C1D" w14:paraId="7B89ECFC" w14:textId="77777777" w:rsidTr="00376439">
        <w:trPr>
          <w:trHeight w:val="630"/>
        </w:trPr>
        <w:tc>
          <w:tcPr>
            <w:tcW w:w="716" w:type="dxa"/>
            <w:shd w:val="clear" w:color="auto" w:fill="auto"/>
            <w:vAlign w:val="center"/>
            <w:hideMark/>
          </w:tcPr>
          <w:p w14:paraId="2FD905D1" w14:textId="77777777" w:rsidR="00B308DF" w:rsidRPr="00CE0C1D" w:rsidRDefault="00B308DF" w:rsidP="00B30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3C0F2F3" w14:textId="77777777" w:rsidR="00B308DF" w:rsidRPr="00CE0C1D" w:rsidRDefault="00B308DF" w:rsidP="00B308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C352DD2" w14:textId="77777777" w:rsidR="00B308DF" w:rsidRPr="00CE0C1D" w:rsidRDefault="00B308DF" w:rsidP="00B30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716" w14:textId="1BA6753E" w:rsidR="00B308DF" w:rsidRPr="00B308DF" w:rsidRDefault="00B308DF" w:rsidP="00B30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08DF">
              <w:rPr>
                <w:rFonts w:ascii="Times New Roman" w:hAnsi="Times New Roman"/>
                <w:b/>
                <w:bCs/>
                <w:sz w:val="20"/>
                <w:szCs w:val="20"/>
              </w:rPr>
              <w:t>12 438 150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40DD" w14:textId="1CF8DBD8" w:rsidR="00B308DF" w:rsidRPr="00B308DF" w:rsidRDefault="00B308DF" w:rsidP="00B30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08DF">
              <w:rPr>
                <w:rFonts w:ascii="Times New Roman" w:hAnsi="Times New Roman"/>
                <w:b/>
                <w:bCs/>
                <w:sz w:val="20"/>
                <w:szCs w:val="20"/>
              </w:rPr>
              <w:t>340 533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5172" w14:textId="0B3FDD89" w:rsidR="00B308DF" w:rsidRPr="00B308DF" w:rsidRDefault="00B308DF" w:rsidP="00B30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08DF">
              <w:rPr>
                <w:rFonts w:ascii="Times New Roman" w:hAnsi="Times New Roman"/>
                <w:b/>
                <w:bCs/>
                <w:sz w:val="20"/>
                <w:szCs w:val="20"/>
              </w:rPr>
              <w:t>-97,3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8C89AA" w14:textId="77777777" w:rsidR="00B308DF" w:rsidRPr="00CE0C1D" w:rsidRDefault="00B308DF" w:rsidP="00B30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E50" w:rsidRPr="00CE0C1D" w14:paraId="24AB0097" w14:textId="77777777" w:rsidTr="0079291E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75558285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C7D15A2" w14:textId="77777777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5B3E8A8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31F131CD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4 092 115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4DE" w14:textId="1A5A4CC2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E50">
              <w:rPr>
                <w:rFonts w:ascii="Times New Roman" w:hAnsi="Times New Roman"/>
                <w:b/>
                <w:bCs/>
                <w:sz w:val="20"/>
                <w:szCs w:val="20"/>
              </w:rPr>
              <w:t>2 229 628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9F63" w14:textId="3DF3846A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E50">
              <w:rPr>
                <w:rFonts w:ascii="Times New Roman" w:hAnsi="Times New Roman"/>
                <w:b/>
                <w:bCs/>
                <w:sz w:val="20"/>
                <w:szCs w:val="20"/>
              </w:rPr>
              <w:t>-45,5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F48" w14:textId="1F0DEF8B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E50">
              <w:rPr>
                <w:rFonts w:ascii="Times New Roman" w:hAnsi="Times New Roman"/>
                <w:b/>
                <w:bCs/>
                <w:sz w:val="20"/>
                <w:szCs w:val="20"/>
              </w:rPr>
              <w:t>-1 862 487</w:t>
            </w:r>
          </w:p>
        </w:tc>
      </w:tr>
      <w:tr w:rsidR="003B4E50" w:rsidRPr="00CE0C1D" w14:paraId="089DFCB4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4F4255C1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EE0B018" w14:textId="28A35432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предоставляемых услуг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CD06089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71143D1C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1 353,019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79571B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737,206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A0F6B12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-45,5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8B5738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-616</w:t>
            </w:r>
          </w:p>
        </w:tc>
      </w:tr>
      <w:tr w:rsidR="003B4E50" w:rsidRPr="00CE0C1D" w14:paraId="21F82C14" w14:textId="77777777" w:rsidTr="002939AB">
        <w:trPr>
          <w:trHeight w:val="315"/>
        </w:trPr>
        <w:tc>
          <w:tcPr>
            <w:tcW w:w="716" w:type="dxa"/>
            <w:shd w:val="clear" w:color="auto" w:fill="auto"/>
            <w:vAlign w:val="center"/>
            <w:hideMark/>
          </w:tcPr>
          <w:p w14:paraId="2FF43486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68FB5D2" w14:textId="77777777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3F1B86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A0F9C2E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310,281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E74289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137,040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9F079F5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-55,8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836CF7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-173</w:t>
            </w:r>
          </w:p>
        </w:tc>
      </w:tr>
      <w:tr w:rsidR="003B4E50" w:rsidRPr="00CE0C1D" w14:paraId="2D45E851" w14:textId="77777777" w:rsidTr="002939AB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14:paraId="48BFC7C4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05F9581" w14:textId="77777777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DF72D88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E9AB909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B97572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14,85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5DB74D2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-19,7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1D9765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4E50" w:rsidRPr="00CE0C1D" w14:paraId="5685C04B" w14:textId="77777777" w:rsidTr="003B4E50">
        <w:trPr>
          <w:trHeight w:val="478"/>
        </w:trPr>
        <w:tc>
          <w:tcPr>
            <w:tcW w:w="716" w:type="dxa"/>
            <w:shd w:val="clear" w:color="auto" w:fill="auto"/>
            <w:vAlign w:val="center"/>
            <w:hideMark/>
          </w:tcPr>
          <w:p w14:paraId="6DEE312E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5E1B608" w14:textId="77777777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F1148B8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тенге/         Гкал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51F7F53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3 024,43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64941A" w14:textId="77777777" w:rsidR="003B4E50" w:rsidRPr="00CE0C1D" w:rsidRDefault="003B4E50" w:rsidP="003B4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3 024,43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1929A83" w14:textId="77777777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3E7119" w14:textId="77777777" w:rsidR="003B4E50" w:rsidRPr="00CE0C1D" w:rsidRDefault="003B4E50" w:rsidP="003B4E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C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19537FF" w14:textId="235AC28C" w:rsidR="00EC73A3" w:rsidRPr="002A1EBB" w:rsidRDefault="006878D3" w:rsidP="00400F5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</w:pPr>
      <w:r w:rsidRPr="004F024C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</w:t>
      </w:r>
      <w:r w:rsidR="00717C1F" w:rsidRPr="004F024C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</w:t>
      </w:r>
    </w:p>
    <w:p w14:paraId="67D17CAA" w14:textId="1179A9F5" w:rsidR="002A1EBB" w:rsidRPr="00037D64" w:rsidRDefault="00EC73A3" w:rsidP="002A1EB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       </w:t>
      </w:r>
      <w:r w:rsidR="0014687C" w:rsidRPr="00546978">
        <w:rPr>
          <w:rFonts w:ascii="Times New Roman" w:hAnsi="Times New Roman"/>
          <w:shd w:val="clear" w:color="auto" w:fill="FFFFFF"/>
          <w:lang w:eastAsia="ru-RU"/>
        </w:rPr>
        <w:t>По и</w:t>
      </w:r>
      <w:r w:rsidR="00990C9F" w:rsidRPr="00546978">
        <w:rPr>
          <w:rFonts w:ascii="Times New Roman" w:hAnsi="Times New Roman"/>
          <w:shd w:val="clear" w:color="auto" w:fill="FFFFFF"/>
          <w:lang w:eastAsia="ru-RU"/>
        </w:rPr>
        <w:t xml:space="preserve">тогам работы предприятия за </w:t>
      </w:r>
      <w:r w:rsidR="00546978" w:rsidRPr="00546978">
        <w:rPr>
          <w:rFonts w:ascii="Times New Roman" w:hAnsi="Times New Roman"/>
          <w:shd w:val="clear" w:color="auto" w:fill="FFFFFF"/>
          <w:lang w:eastAsia="ru-RU"/>
        </w:rPr>
        <w:t xml:space="preserve">1 полугодие </w:t>
      </w:r>
      <w:r w:rsidR="00717C1F" w:rsidRPr="00546978">
        <w:rPr>
          <w:rFonts w:ascii="Times New Roman" w:hAnsi="Times New Roman"/>
          <w:shd w:val="clear" w:color="auto" w:fill="FFFFFF"/>
          <w:lang w:eastAsia="ru-RU"/>
        </w:rPr>
        <w:t>202</w:t>
      </w:r>
      <w:r w:rsidR="00546978" w:rsidRPr="00546978">
        <w:rPr>
          <w:rFonts w:ascii="Times New Roman" w:hAnsi="Times New Roman"/>
          <w:shd w:val="clear" w:color="auto" w:fill="FFFFFF"/>
          <w:lang w:eastAsia="ru-RU"/>
        </w:rPr>
        <w:t>2</w:t>
      </w:r>
      <w:r w:rsidR="0014687C" w:rsidRPr="00546978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</w:t>
      </w:r>
      <w:r w:rsidR="00476B5C" w:rsidRPr="00546978">
        <w:rPr>
          <w:rFonts w:ascii="Times New Roman" w:hAnsi="Times New Roman"/>
          <w:shd w:val="clear" w:color="auto" w:fill="FFFFFF"/>
          <w:lang w:eastAsia="ru-RU"/>
        </w:rPr>
        <w:t xml:space="preserve">тепловой энергии </w:t>
      </w:r>
      <w:r w:rsidR="00476B5C" w:rsidRPr="004E745A">
        <w:rPr>
          <w:rFonts w:ascii="Times New Roman" w:hAnsi="Times New Roman"/>
          <w:shd w:val="clear" w:color="auto" w:fill="FFFFFF"/>
          <w:lang w:eastAsia="ru-RU"/>
        </w:rPr>
        <w:t xml:space="preserve">составили </w:t>
      </w:r>
      <w:r w:rsidR="00963467" w:rsidRPr="004E745A">
        <w:rPr>
          <w:rFonts w:ascii="Times New Roman" w:hAnsi="Times New Roman"/>
          <w:lang w:val="kk-KZ" w:eastAsia="ru-RU"/>
        </w:rPr>
        <w:t>1 72</w:t>
      </w:r>
      <w:r w:rsidR="002A1EBB" w:rsidRPr="004E745A">
        <w:rPr>
          <w:rFonts w:ascii="Times New Roman" w:hAnsi="Times New Roman"/>
          <w:lang w:val="kk-KZ" w:eastAsia="ru-RU"/>
        </w:rPr>
        <w:t>5</w:t>
      </w:r>
      <w:r w:rsidR="00591AF5" w:rsidRPr="004E745A">
        <w:rPr>
          <w:rFonts w:ascii="Times New Roman" w:hAnsi="Times New Roman"/>
          <w:lang w:eastAsia="ru-RU"/>
        </w:rPr>
        <w:t xml:space="preserve"> </w:t>
      </w:r>
      <w:r w:rsidR="00476B5C" w:rsidRPr="004E745A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4E745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476B5C" w:rsidRPr="004E745A">
        <w:rPr>
          <w:rFonts w:ascii="Times New Roman" w:hAnsi="Times New Roman"/>
          <w:shd w:val="clear" w:color="auto" w:fill="FFFFFF"/>
          <w:lang w:eastAsia="ru-RU"/>
        </w:rPr>
        <w:t xml:space="preserve">тенге при плане </w:t>
      </w:r>
      <w:r w:rsidR="00400F57" w:rsidRPr="004E745A">
        <w:rPr>
          <w:rFonts w:ascii="Times New Roman" w:hAnsi="Times New Roman"/>
          <w:shd w:val="clear" w:color="auto" w:fill="FFFFFF"/>
          <w:lang w:val="kk-KZ" w:eastAsia="ru-RU"/>
        </w:rPr>
        <w:t>3</w:t>
      </w:r>
      <w:r w:rsidR="005D4D0A" w:rsidRPr="004E745A">
        <w:rPr>
          <w:rFonts w:ascii="Times New Roman" w:hAnsi="Times New Roman"/>
          <w:shd w:val="clear" w:color="auto" w:fill="FFFFFF"/>
          <w:lang w:val="kk-KZ" w:eastAsia="ru-RU"/>
        </w:rPr>
        <w:t xml:space="preserve"> </w:t>
      </w:r>
      <w:r w:rsidR="00546978" w:rsidRPr="004E745A">
        <w:rPr>
          <w:rFonts w:ascii="Times New Roman" w:hAnsi="Times New Roman"/>
          <w:shd w:val="clear" w:color="auto" w:fill="FFFFFF"/>
          <w:lang w:val="kk-KZ" w:eastAsia="ru-RU"/>
        </w:rPr>
        <w:t>607</w:t>
      </w:r>
      <w:r w:rsidR="00476B5C" w:rsidRPr="004E745A">
        <w:rPr>
          <w:rFonts w:ascii="Times New Roman" w:hAnsi="Times New Roman"/>
          <w:lang w:eastAsia="ru-RU"/>
        </w:rPr>
        <w:t xml:space="preserve"> </w:t>
      </w:r>
      <w:r w:rsidR="0014687C" w:rsidRPr="004E745A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4E745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14687C" w:rsidRPr="004E745A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="0014687C" w:rsidRPr="004E745A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="0014687C" w:rsidRPr="004E745A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="0014687C" w:rsidRPr="004E745A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1172DB" w:rsidRPr="004E745A">
        <w:rPr>
          <w:rFonts w:ascii="Times New Roman" w:hAnsi="Times New Roman"/>
          <w:b/>
          <w:u w:val="single"/>
          <w:shd w:val="clear" w:color="auto" w:fill="FFFFFF"/>
          <w:lang w:eastAsia="ru-RU"/>
        </w:rPr>
        <w:t>52,2%</w:t>
      </w:r>
      <w:r w:rsidR="0026054E" w:rsidRPr="004E745A">
        <w:rPr>
          <w:rFonts w:ascii="Times New Roman" w:hAnsi="Times New Roman"/>
          <w:shd w:val="clear" w:color="auto" w:fill="FFFFFF"/>
          <w:lang w:eastAsia="ru-RU"/>
        </w:rPr>
        <w:t>.</w:t>
      </w:r>
      <w:r w:rsidR="000E1634" w:rsidRPr="0054697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2A1EBB" w:rsidRPr="00037D64">
        <w:rPr>
          <w:rFonts w:ascii="Times New Roman" w:hAnsi="Times New Roman"/>
          <w:shd w:val="clear" w:color="auto" w:fill="FFFFFF"/>
          <w:lang w:eastAsia="ru-RU"/>
        </w:rPr>
        <w:t>Затраты будут освоены во втором полугодии отчетного года.</w:t>
      </w:r>
    </w:p>
    <w:p w14:paraId="639DE42B" w14:textId="77777777" w:rsidR="008263A8" w:rsidRPr="00D416F0" w:rsidRDefault="008263A8" w:rsidP="002A1EBB">
      <w:pPr>
        <w:spacing w:after="0" w:line="240" w:lineRule="auto"/>
        <w:jc w:val="both"/>
        <w:outlineLvl w:val="0"/>
        <w:rPr>
          <w:rFonts w:ascii="Times New Roman" w:hAnsi="Times New Roman"/>
          <w:highlight w:val="red"/>
          <w:shd w:val="clear" w:color="auto" w:fill="FFFFFF"/>
          <w:lang w:eastAsia="ru-RU"/>
        </w:rPr>
      </w:pPr>
    </w:p>
    <w:p w14:paraId="09461ED8" w14:textId="77777777" w:rsidR="00636FCA" w:rsidRPr="00CE0C1D" w:rsidRDefault="00636FCA" w:rsidP="00636FCA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CE0C1D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CE0C1D">
        <w:rPr>
          <w:rFonts w:ascii="Times New Roman" w:hAnsi="Times New Roman"/>
          <w:b/>
          <w:u w:val="single"/>
          <w:lang w:val="kk-KZ" w:eastAsia="ru-RU"/>
        </w:rPr>
        <w:t>на 202</w:t>
      </w:r>
      <w:r w:rsidRPr="00CE0C1D">
        <w:rPr>
          <w:rFonts w:ascii="Times New Roman" w:hAnsi="Times New Roman"/>
          <w:b/>
          <w:u w:val="single"/>
          <w:lang w:eastAsia="ru-RU"/>
        </w:rPr>
        <w:t>2 год</w:t>
      </w:r>
    </w:p>
    <w:p w14:paraId="6219F6E5" w14:textId="77777777" w:rsidR="00636FCA" w:rsidRPr="00CE0C1D" w:rsidRDefault="00636FCA" w:rsidP="00636FCA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</w:p>
    <w:p w14:paraId="6810435C" w14:textId="77777777" w:rsidR="00CE0C1D" w:rsidRPr="00CE0C1D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 xml:space="preserve">Планируемый объем капитального ремонта </w:t>
      </w:r>
      <w:r w:rsidRPr="00CE0C1D">
        <w:rPr>
          <w:rFonts w:ascii="Times New Roman" w:hAnsi="Times New Roman"/>
          <w:lang w:val="kk-KZ" w:eastAsia="ru-RU"/>
        </w:rPr>
        <w:t>на</w:t>
      </w:r>
      <w:r w:rsidRPr="00CE0C1D">
        <w:rPr>
          <w:rFonts w:ascii="Times New Roman" w:hAnsi="Times New Roman"/>
          <w:lang w:eastAsia="ru-RU"/>
        </w:rPr>
        <w:t xml:space="preserve"> 2-е полугодие</w:t>
      </w:r>
      <w:r w:rsidRPr="00CE0C1D">
        <w:rPr>
          <w:rFonts w:ascii="Times New Roman" w:hAnsi="Times New Roman"/>
          <w:lang w:val="kk-KZ" w:eastAsia="ru-RU"/>
        </w:rPr>
        <w:t xml:space="preserve"> </w:t>
      </w:r>
      <w:r w:rsidRPr="00CE0C1D">
        <w:rPr>
          <w:rFonts w:ascii="Times New Roman" w:hAnsi="Times New Roman"/>
          <w:lang w:eastAsia="ru-RU"/>
        </w:rPr>
        <w:t>2022 год составляет 2,1 км т/сетей (магистральных – 0,5 км, распределительных – 1,3 км, устранение повреждений – 0,0 км – объем работ выполнен за 1-е полугодие). Предприятие планирует выполнить следующие виды работ:</w:t>
      </w:r>
    </w:p>
    <w:p w14:paraId="52F50DBE" w14:textId="77777777" w:rsidR="00CE0C1D" w:rsidRPr="00CE0C1D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>1.</w:t>
      </w:r>
      <w:r w:rsidRPr="00CE0C1D">
        <w:rPr>
          <w:rFonts w:ascii="Times New Roman" w:hAnsi="Times New Roman"/>
          <w:lang w:eastAsia="ru-RU"/>
        </w:rPr>
        <w:tab/>
        <w:t>Замена тепловых сетей 2,1 км трубопровода;</w:t>
      </w:r>
    </w:p>
    <w:p w14:paraId="1E1D0C64" w14:textId="77777777" w:rsidR="00CE0C1D" w:rsidRPr="00CE0C1D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>2.</w:t>
      </w:r>
      <w:r w:rsidRPr="00CE0C1D">
        <w:rPr>
          <w:rFonts w:ascii="Times New Roman" w:hAnsi="Times New Roman"/>
          <w:lang w:eastAsia="ru-RU"/>
        </w:rPr>
        <w:tab/>
        <w:t>Замена запорной арматуры – 99 шт.;</w:t>
      </w:r>
    </w:p>
    <w:p w14:paraId="5B710E0D" w14:textId="77777777" w:rsidR="00CE0C1D" w:rsidRPr="00CE0C1D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>3.</w:t>
      </w:r>
      <w:r w:rsidRPr="00CE0C1D">
        <w:rPr>
          <w:rFonts w:ascii="Times New Roman" w:hAnsi="Times New Roman"/>
          <w:lang w:eastAsia="ru-RU"/>
        </w:rPr>
        <w:tab/>
        <w:t>Ремонт тепловых камер – 1 шт.;</w:t>
      </w:r>
    </w:p>
    <w:p w14:paraId="1B34EBA1" w14:textId="77777777" w:rsidR="00CE0C1D" w:rsidRPr="00CE0C1D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>4.</w:t>
      </w:r>
      <w:r w:rsidRPr="00CE0C1D">
        <w:rPr>
          <w:rFonts w:ascii="Times New Roman" w:hAnsi="Times New Roman"/>
          <w:lang w:eastAsia="ru-RU"/>
        </w:rPr>
        <w:tab/>
        <w:t>Ремонт тепловой изоляции 0,463 км;</w:t>
      </w:r>
    </w:p>
    <w:p w14:paraId="58405056" w14:textId="77777777" w:rsidR="00CE0C1D" w:rsidRPr="00CE0C1D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>5.</w:t>
      </w:r>
      <w:r w:rsidRPr="00CE0C1D">
        <w:rPr>
          <w:rFonts w:ascii="Times New Roman" w:hAnsi="Times New Roman"/>
          <w:lang w:eastAsia="ru-RU"/>
        </w:rPr>
        <w:tab/>
        <w:t>Работы по восстановлению асфальтного покрытия - 3 500 м2;</w:t>
      </w:r>
    </w:p>
    <w:p w14:paraId="3656CCB5" w14:textId="77777777" w:rsidR="00CE0C1D" w:rsidRPr="00CE0C1D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>6.</w:t>
      </w:r>
      <w:r w:rsidRPr="00CE0C1D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14:paraId="59AF01E8" w14:textId="77777777" w:rsidR="00CE0C1D" w:rsidRPr="004F024C" w:rsidRDefault="00CE0C1D" w:rsidP="00CE0C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CE0C1D">
        <w:rPr>
          <w:rFonts w:ascii="Times New Roman" w:hAnsi="Times New Roman"/>
          <w:lang w:eastAsia="ru-RU"/>
        </w:rPr>
        <w:t>Объем капитального ремонта на 2-е полугодие 2022 года составляет 276 млн. тенге.</w:t>
      </w:r>
    </w:p>
    <w:p w14:paraId="27FE48D5" w14:textId="77777777" w:rsidR="002A4A90" w:rsidRPr="00D416F0" w:rsidRDefault="002A4A90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highlight w:val="red"/>
          <w:lang w:eastAsia="ru-RU"/>
        </w:rPr>
      </w:pPr>
    </w:p>
    <w:p w14:paraId="4A72E56C" w14:textId="6D58980F" w:rsidR="00893495" w:rsidRPr="00AB2490" w:rsidRDefault="00893495" w:rsidP="00893495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B2490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AB2490">
        <w:rPr>
          <w:rFonts w:ascii="Times New Roman" w:hAnsi="Times New Roman"/>
          <w:b/>
          <w:u w:val="single"/>
          <w:lang w:val="kk-KZ" w:eastAsia="ru-RU"/>
        </w:rPr>
        <w:t>на</w:t>
      </w:r>
      <w:r w:rsidR="00AB2490">
        <w:rPr>
          <w:rFonts w:ascii="Times New Roman" w:hAnsi="Times New Roman"/>
          <w:b/>
          <w:u w:val="single"/>
          <w:lang w:val="kk-KZ" w:eastAsia="ru-RU"/>
        </w:rPr>
        <w:t xml:space="preserve"> 2-е полугодие</w:t>
      </w:r>
      <w:r w:rsidRPr="00AB2490">
        <w:rPr>
          <w:rFonts w:ascii="Times New Roman" w:hAnsi="Times New Roman"/>
          <w:b/>
          <w:u w:val="single"/>
          <w:lang w:val="kk-KZ" w:eastAsia="ru-RU"/>
        </w:rPr>
        <w:t xml:space="preserve"> 2022</w:t>
      </w:r>
      <w:r w:rsidRPr="00AB2490">
        <w:rPr>
          <w:rFonts w:ascii="Times New Roman" w:hAnsi="Times New Roman"/>
          <w:b/>
          <w:u w:val="single"/>
          <w:lang w:eastAsia="ru-RU"/>
        </w:rPr>
        <w:t xml:space="preserve"> год</w:t>
      </w:r>
      <w:r w:rsidR="00AB2490">
        <w:rPr>
          <w:rFonts w:ascii="Times New Roman" w:hAnsi="Times New Roman"/>
          <w:b/>
          <w:u w:val="single"/>
          <w:lang w:eastAsia="ru-RU"/>
        </w:rPr>
        <w:t xml:space="preserve">а </w:t>
      </w:r>
      <w:r w:rsidRPr="00AB2490">
        <w:rPr>
          <w:rFonts w:ascii="Times New Roman" w:hAnsi="Times New Roman"/>
          <w:sz w:val="24"/>
          <w:szCs w:val="24"/>
          <w:u w:val="single"/>
          <w:lang w:eastAsia="ru-RU"/>
        </w:rPr>
        <w:t>(Инвестиционная программа 2022 г.)</w:t>
      </w:r>
    </w:p>
    <w:p w14:paraId="41B6F5E7" w14:textId="77777777" w:rsidR="00AB2490" w:rsidRPr="00D416F0" w:rsidRDefault="00AB2490" w:rsidP="00893495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highlight w:val="red"/>
          <w:lang w:eastAsia="ru-RU"/>
        </w:rPr>
      </w:pPr>
    </w:p>
    <w:p w14:paraId="0767CB35" w14:textId="7E45D70D" w:rsidR="001F1B62" w:rsidRPr="004F024C" w:rsidRDefault="00AB2490" w:rsidP="008262F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  <w:r w:rsidRPr="00AB2490">
        <w:rPr>
          <w:rFonts w:ascii="Times New Roman" w:hAnsi="Times New Roman"/>
          <w:sz w:val="24"/>
          <w:szCs w:val="24"/>
          <w:lang w:eastAsia="ru-RU"/>
        </w:rPr>
        <w:t xml:space="preserve">Во втором полугодии 2022 года в рамках инвестиционной программы планируется продолжить работы по реконструкции ТМ№3 2Ду500мм по ул. Сатпаева. Будет реконструировано порядка 317 </w:t>
      </w:r>
      <w:proofErr w:type="spellStart"/>
      <w:r w:rsidRPr="00AB2490">
        <w:rPr>
          <w:rFonts w:ascii="Times New Roman" w:hAnsi="Times New Roman"/>
          <w:sz w:val="24"/>
          <w:szCs w:val="24"/>
          <w:lang w:eastAsia="ru-RU"/>
        </w:rPr>
        <w:t>п.м</w:t>
      </w:r>
      <w:proofErr w:type="spellEnd"/>
      <w:r w:rsidRPr="00AB2490">
        <w:rPr>
          <w:rFonts w:ascii="Times New Roman" w:hAnsi="Times New Roman"/>
          <w:sz w:val="24"/>
          <w:szCs w:val="24"/>
          <w:lang w:eastAsia="ru-RU"/>
        </w:rPr>
        <w:t>. магистрального трубопровода.</w:t>
      </w:r>
    </w:p>
    <w:p w14:paraId="33EB75DD" w14:textId="4EE48AEA" w:rsidR="00324AB9" w:rsidRDefault="00324AB9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30B21265" w14:textId="3A7868EF" w:rsidR="003B4E50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385E742A" w14:textId="1A9B32D9" w:rsidR="003B4E50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4EFA5C2A" w14:textId="75AE8CF9" w:rsidR="003B4E50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446324DE" w14:textId="2A8A2E98" w:rsidR="003B4E50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122A3DCF" w14:textId="7991F7B3" w:rsidR="003B4E50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6FD8957F" w14:textId="62EC128F" w:rsidR="003B4E50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1590E7AC" w14:textId="77777777" w:rsidR="003B4E50" w:rsidRPr="004F024C" w:rsidRDefault="003B4E50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6B156F4E" w14:textId="77777777" w:rsidR="008275ED" w:rsidRPr="00951B8C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951B8C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Планово-экономический отдел </w:t>
      </w:r>
    </w:p>
    <w:p w14:paraId="305C033D" w14:textId="77777777" w:rsidR="008275ED" w:rsidRPr="00951B8C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951B8C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ТОО «Петропавловские Тепловые Сети»</w:t>
      </w:r>
    </w:p>
    <w:p w14:paraId="54F51765" w14:textId="77777777" w:rsidR="007453B4" w:rsidRPr="00951B8C" w:rsidRDefault="008275ED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  <w:lang w:val="kk-KZ"/>
        </w:rPr>
      </w:pPr>
      <w:r w:rsidRPr="00951B8C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Тел.: +7(7152) 52-26-90 </w:t>
      </w:r>
    </w:p>
    <w:sectPr w:rsidR="007453B4" w:rsidRPr="00951B8C" w:rsidSect="008E7F7A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24E3" w14:textId="77777777" w:rsidR="0070510D" w:rsidRDefault="0070510D" w:rsidP="000B2629">
      <w:pPr>
        <w:spacing w:after="0" w:line="240" w:lineRule="auto"/>
      </w:pPr>
      <w:r>
        <w:separator/>
      </w:r>
    </w:p>
  </w:endnote>
  <w:endnote w:type="continuationSeparator" w:id="0">
    <w:p w14:paraId="5BDDC63E" w14:textId="77777777" w:rsidR="0070510D" w:rsidRDefault="0070510D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C303" w14:textId="77777777" w:rsidR="0070510D" w:rsidRDefault="0070510D" w:rsidP="000B2629">
      <w:pPr>
        <w:spacing w:after="0" w:line="240" w:lineRule="auto"/>
      </w:pPr>
      <w:r>
        <w:separator/>
      </w:r>
    </w:p>
  </w:footnote>
  <w:footnote w:type="continuationSeparator" w:id="0">
    <w:p w14:paraId="557B83F2" w14:textId="77777777" w:rsidR="0070510D" w:rsidRDefault="0070510D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3"/>
    <w:rsid w:val="00022807"/>
    <w:rsid w:val="00023581"/>
    <w:rsid w:val="0003521A"/>
    <w:rsid w:val="0004050C"/>
    <w:rsid w:val="00044D37"/>
    <w:rsid w:val="000472ED"/>
    <w:rsid w:val="00052984"/>
    <w:rsid w:val="00053DC9"/>
    <w:rsid w:val="00060E75"/>
    <w:rsid w:val="00064A5B"/>
    <w:rsid w:val="00081687"/>
    <w:rsid w:val="0008233E"/>
    <w:rsid w:val="000825F5"/>
    <w:rsid w:val="00083D88"/>
    <w:rsid w:val="0009355B"/>
    <w:rsid w:val="00097FE7"/>
    <w:rsid w:val="000A0B0C"/>
    <w:rsid w:val="000B2629"/>
    <w:rsid w:val="000B59CC"/>
    <w:rsid w:val="000C07A2"/>
    <w:rsid w:val="000C2005"/>
    <w:rsid w:val="000C5183"/>
    <w:rsid w:val="000D64EA"/>
    <w:rsid w:val="000E1634"/>
    <w:rsid w:val="00103DFB"/>
    <w:rsid w:val="001051A1"/>
    <w:rsid w:val="0011065F"/>
    <w:rsid w:val="00114474"/>
    <w:rsid w:val="001172DB"/>
    <w:rsid w:val="00122D87"/>
    <w:rsid w:val="00136B20"/>
    <w:rsid w:val="00142A76"/>
    <w:rsid w:val="0014687C"/>
    <w:rsid w:val="00147018"/>
    <w:rsid w:val="00150C05"/>
    <w:rsid w:val="00153B34"/>
    <w:rsid w:val="00155214"/>
    <w:rsid w:val="0018250B"/>
    <w:rsid w:val="00190E0A"/>
    <w:rsid w:val="001914D5"/>
    <w:rsid w:val="00191727"/>
    <w:rsid w:val="00194270"/>
    <w:rsid w:val="00194E3D"/>
    <w:rsid w:val="001C18FB"/>
    <w:rsid w:val="001C5131"/>
    <w:rsid w:val="001C6573"/>
    <w:rsid w:val="001D1BAD"/>
    <w:rsid w:val="001D2BC8"/>
    <w:rsid w:val="001E2852"/>
    <w:rsid w:val="001E7C6B"/>
    <w:rsid w:val="001F1B62"/>
    <w:rsid w:val="001F1BEF"/>
    <w:rsid w:val="001F3121"/>
    <w:rsid w:val="001F5C93"/>
    <w:rsid w:val="002036D2"/>
    <w:rsid w:val="00205483"/>
    <w:rsid w:val="002121F8"/>
    <w:rsid w:val="00215109"/>
    <w:rsid w:val="00221EEB"/>
    <w:rsid w:val="00222078"/>
    <w:rsid w:val="00232594"/>
    <w:rsid w:val="002332BD"/>
    <w:rsid w:val="00235333"/>
    <w:rsid w:val="002354FD"/>
    <w:rsid w:val="00252937"/>
    <w:rsid w:val="00256946"/>
    <w:rsid w:val="0026054E"/>
    <w:rsid w:val="00262626"/>
    <w:rsid w:val="00262C73"/>
    <w:rsid w:val="00264C9A"/>
    <w:rsid w:val="00272DC9"/>
    <w:rsid w:val="00277996"/>
    <w:rsid w:val="002845E3"/>
    <w:rsid w:val="00285D91"/>
    <w:rsid w:val="002939AB"/>
    <w:rsid w:val="002A1EBB"/>
    <w:rsid w:val="002A2082"/>
    <w:rsid w:val="002A3480"/>
    <w:rsid w:val="002A3D87"/>
    <w:rsid w:val="002A4A90"/>
    <w:rsid w:val="002A5EA1"/>
    <w:rsid w:val="002A6035"/>
    <w:rsid w:val="002A65A8"/>
    <w:rsid w:val="002B1AF1"/>
    <w:rsid w:val="002B32ED"/>
    <w:rsid w:val="002C29E1"/>
    <w:rsid w:val="002C79EB"/>
    <w:rsid w:val="002C7DFF"/>
    <w:rsid w:val="002E37DE"/>
    <w:rsid w:val="003024AB"/>
    <w:rsid w:val="00321B62"/>
    <w:rsid w:val="00324AB9"/>
    <w:rsid w:val="00335579"/>
    <w:rsid w:val="00341FBB"/>
    <w:rsid w:val="003421A4"/>
    <w:rsid w:val="003444F2"/>
    <w:rsid w:val="00355B64"/>
    <w:rsid w:val="00360DB2"/>
    <w:rsid w:val="0036156A"/>
    <w:rsid w:val="00371A41"/>
    <w:rsid w:val="00376930"/>
    <w:rsid w:val="00396E2D"/>
    <w:rsid w:val="003B4E50"/>
    <w:rsid w:val="003B71F0"/>
    <w:rsid w:val="003C3769"/>
    <w:rsid w:val="003C67F7"/>
    <w:rsid w:val="003D26AA"/>
    <w:rsid w:val="003D7FB9"/>
    <w:rsid w:val="003E578D"/>
    <w:rsid w:val="003F0ED8"/>
    <w:rsid w:val="003F4C49"/>
    <w:rsid w:val="003F6859"/>
    <w:rsid w:val="00400F57"/>
    <w:rsid w:val="00401C9A"/>
    <w:rsid w:val="0041194F"/>
    <w:rsid w:val="004122E8"/>
    <w:rsid w:val="004136DB"/>
    <w:rsid w:val="00423D21"/>
    <w:rsid w:val="0042404D"/>
    <w:rsid w:val="00425137"/>
    <w:rsid w:val="00442FF5"/>
    <w:rsid w:val="004636C7"/>
    <w:rsid w:val="00463AFD"/>
    <w:rsid w:val="00470316"/>
    <w:rsid w:val="00474A03"/>
    <w:rsid w:val="00476B5C"/>
    <w:rsid w:val="0048534E"/>
    <w:rsid w:val="00487403"/>
    <w:rsid w:val="004918E6"/>
    <w:rsid w:val="0049213C"/>
    <w:rsid w:val="00493A23"/>
    <w:rsid w:val="00494ECC"/>
    <w:rsid w:val="004979CD"/>
    <w:rsid w:val="004A31F0"/>
    <w:rsid w:val="004C1CD7"/>
    <w:rsid w:val="004D08EA"/>
    <w:rsid w:val="004D5658"/>
    <w:rsid w:val="004D661F"/>
    <w:rsid w:val="004D7147"/>
    <w:rsid w:val="004D7451"/>
    <w:rsid w:val="004E02FF"/>
    <w:rsid w:val="004E745A"/>
    <w:rsid w:val="004F024C"/>
    <w:rsid w:val="004F343A"/>
    <w:rsid w:val="00510DC4"/>
    <w:rsid w:val="00526126"/>
    <w:rsid w:val="005368C6"/>
    <w:rsid w:val="00542FD1"/>
    <w:rsid w:val="00546978"/>
    <w:rsid w:val="00546F10"/>
    <w:rsid w:val="00550F2A"/>
    <w:rsid w:val="00552DF3"/>
    <w:rsid w:val="00557AD6"/>
    <w:rsid w:val="00560554"/>
    <w:rsid w:val="005630C5"/>
    <w:rsid w:val="00564E94"/>
    <w:rsid w:val="00575BA1"/>
    <w:rsid w:val="00575CC2"/>
    <w:rsid w:val="005764F3"/>
    <w:rsid w:val="00582547"/>
    <w:rsid w:val="00591AF5"/>
    <w:rsid w:val="00595051"/>
    <w:rsid w:val="00595E9B"/>
    <w:rsid w:val="005A65AB"/>
    <w:rsid w:val="005A6F4C"/>
    <w:rsid w:val="005B409C"/>
    <w:rsid w:val="005C08D2"/>
    <w:rsid w:val="005C28EE"/>
    <w:rsid w:val="005C7F8F"/>
    <w:rsid w:val="005D444C"/>
    <w:rsid w:val="005D4D0A"/>
    <w:rsid w:val="005E2665"/>
    <w:rsid w:val="005E5967"/>
    <w:rsid w:val="005F624E"/>
    <w:rsid w:val="006006C1"/>
    <w:rsid w:val="0060358B"/>
    <w:rsid w:val="00605AA5"/>
    <w:rsid w:val="00613D8F"/>
    <w:rsid w:val="00617843"/>
    <w:rsid w:val="00631722"/>
    <w:rsid w:val="006357DE"/>
    <w:rsid w:val="00636FCA"/>
    <w:rsid w:val="0066157B"/>
    <w:rsid w:val="00662DD2"/>
    <w:rsid w:val="00667C3E"/>
    <w:rsid w:val="006725E4"/>
    <w:rsid w:val="0068077F"/>
    <w:rsid w:val="00681F53"/>
    <w:rsid w:val="006878D3"/>
    <w:rsid w:val="0069283C"/>
    <w:rsid w:val="00693ADC"/>
    <w:rsid w:val="006A1EE8"/>
    <w:rsid w:val="006A2055"/>
    <w:rsid w:val="006B2244"/>
    <w:rsid w:val="006B492E"/>
    <w:rsid w:val="006C42E3"/>
    <w:rsid w:val="0070510D"/>
    <w:rsid w:val="0070761F"/>
    <w:rsid w:val="00714D68"/>
    <w:rsid w:val="00717C1F"/>
    <w:rsid w:val="00720543"/>
    <w:rsid w:val="00733A7C"/>
    <w:rsid w:val="0073608B"/>
    <w:rsid w:val="007453B4"/>
    <w:rsid w:val="00755D90"/>
    <w:rsid w:val="00784324"/>
    <w:rsid w:val="00791AF4"/>
    <w:rsid w:val="00795198"/>
    <w:rsid w:val="007A0B03"/>
    <w:rsid w:val="007A364A"/>
    <w:rsid w:val="007A43C8"/>
    <w:rsid w:val="007B15C4"/>
    <w:rsid w:val="007B2867"/>
    <w:rsid w:val="007B4574"/>
    <w:rsid w:val="007B687F"/>
    <w:rsid w:val="007B6C77"/>
    <w:rsid w:val="007B78BC"/>
    <w:rsid w:val="007C591E"/>
    <w:rsid w:val="007D4D8F"/>
    <w:rsid w:val="007E0AF6"/>
    <w:rsid w:val="007E2A9B"/>
    <w:rsid w:val="007F3175"/>
    <w:rsid w:val="00803943"/>
    <w:rsid w:val="00805506"/>
    <w:rsid w:val="00805CE1"/>
    <w:rsid w:val="00806285"/>
    <w:rsid w:val="00807458"/>
    <w:rsid w:val="0081159B"/>
    <w:rsid w:val="0081789A"/>
    <w:rsid w:val="00822D6C"/>
    <w:rsid w:val="00824AA1"/>
    <w:rsid w:val="008262FE"/>
    <w:rsid w:val="008263A8"/>
    <w:rsid w:val="008275ED"/>
    <w:rsid w:val="00827A01"/>
    <w:rsid w:val="00831862"/>
    <w:rsid w:val="008431B9"/>
    <w:rsid w:val="00843235"/>
    <w:rsid w:val="008472B0"/>
    <w:rsid w:val="0084757D"/>
    <w:rsid w:val="008525ED"/>
    <w:rsid w:val="00856D9C"/>
    <w:rsid w:val="0085745F"/>
    <w:rsid w:val="00873DB5"/>
    <w:rsid w:val="008925E7"/>
    <w:rsid w:val="00892C3D"/>
    <w:rsid w:val="00893495"/>
    <w:rsid w:val="008A57ED"/>
    <w:rsid w:val="008B13C5"/>
    <w:rsid w:val="008C05A2"/>
    <w:rsid w:val="008C4B28"/>
    <w:rsid w:val="008D077C"/>
    <w:rsid w:val="008D07AC"/>
    <w:rsid w:val="008D16E0"/>
    <w:rsid w:val="008D320F"/>
    <w:rsid w:val="008D376C"/>
    <w:rsid w:val="008D4881"/>
    <w:rsid w:val="008D6C85"/>
    <w:rsid w:val="008E7F7A"/>
    <w:rsid w:val="00911EE5"/>
    <w:rsid w:val="00917F42"/>
    <w:rsid w:val="009316FE"/>
    <w:rsid w:val="00934610"/>
    <w:rsid w:val="00934A86"/>
    <w:rsid w:val="009356E8"/>
    <w:rsid w:val="00941669"/>
    <w:rsid w:val="00941BA2"/>
    <w:rsid w:val="00946D68"/>
    <w:rsid w:val="00951B8C"/>
    <w:rsid w:val="00963467"/>
    <w:rsid w:val="009648C1"/>
    <w:rsid w:val="0096577C"/>
    <w:rsid w:val="00965819"/>
    <w:rsid w:val="0097058C"/>
    <w:rsid w:val="009744E9"/>
    <w:rsid w:val="00980E9C"/>
    <w:rsid w:val="009812A3"/>
    <w:rsid w:val="00982AA0"/>
    <w:rsid w:val="00986A8F"/>
    <w:rsid w:val="00990C9F"/>
    <w:rsid w:val="00992056"/>
    <w:rsid w:val="00993404"/>
    <w:rsid w:val="00995964"/>
    <w:rsid w:val="009B2DE5"/>
    <w:rsid w:val="009C71D8"/>
    <w:rsid w:val="009F1627"/>
    <w:rsid w:val="009F47FD"/>
    <w:rsid w:val="00A007DB"/>
    <w:rsid w:val="00A03983"/>
    <w:rsid w:val="00A05AC7"/>
    <w:rsid w:val="00A10449"/>
    <w:rsid w:val="00A1727E"/>
    <w:rsid w:val="00A21248"/>
    <w:rsid w:val="00A23796"/>
    <w:rsid w:val="00A34982"/>
    <w:rsid w:val="00A35A8F"/>
    <w:rsid w:val="00A35D88"/>
    <w:rsid w:val="00A56646"/>
    <w:rsid w:val="00A6203C"/>
    <w:rsid w:val="00A77660"/>
    <w:rsid w:val="00A87185"/>
    <w:rsid w:val="00A90978"/>
    <w:rsid w:val="00A94E0F"/>
    <w:rsid w:val="00A952DF"/>
    <w:rsid w:val="00AA14E4"/>
    <w:rsid w:val="00AA6B1F"/>
    <w:rsid w:val="00AB1E76"/>
    <w:rsid w:val="00AB2490"/>
    <w:rsid w:val="00AB6EF0"/>
    <w:rsid w:val="00AD1D68"/>
    <w:rsid w:val="00AE2BDA"/>
    <w:rsid w:val="00AE3B42"/>
    <w:rsid w:val="00AE5316"/>
    <w:rsid w:val="00AE6D0E"/>
    <w:rsid w:val="00AE7290"/>
    <w:rsid w:val="00B043A8"/>
    <w:rsid w:val="00B056B4"/>
    <w:rsid w:val="00B308DF"/>
    <w:rsid w:val="00B33D06"/>
    <w:rsid w:val="00B4148B"/>
    <w:rsid w:val="00B415BE"/>
    <w:rsid w:val="00B4191D"/>
    <w:rsid w:val="00B42857"/>
    <w:rsid w:val="00B43C12"/>
    <w:rsid w:val="00B50D3D"/>
    <w:rsid w:val="00B51060"/>
    <w:rsid w:val="00B55B5F"/>
    <w:rsid w:val="00B6136D"/>
    <w:rsid w:val="00B67054"/>
    <w:rsid w:val="00B707E7"/>
    <w:rsid w:val="00B715F1"/>
    <w:rsid w:val="00B71DE8"/>
    <w:rsid w:val="00B750A1"/>
    <w:rsid w:val="00B825D8"/>
    <w:rsid w:val="00B97774"/>
    <w:rsid w:val="00BA3A5E"/>
    <w:rsid w:val="00BA58C3"/>
    <w:rsid w:val="00BA6540"/>
    <w:rsid w:val="00BB05A0"/>
    <w:rsid w:val="00BB1F71"/>
    <w:rsid w:val="00BB287C"/>
    <w:rsid w:val="00BD36A9"/>
    <w:rsid w:val="00BE2BBB"/>
    <w:rsid w:val="00BE310F"/>
    <w:rsid w:val="00BE4B25"/>
    <w:rsid w:val="00BF06E8"/>
    <w:rsid w:val="00C15A67"/>
    <w:rsid w:val="00C45C42"/>
    <w:rsid w:val="00C47098"/>
    <w:rsid w:val="00C62CDE"/>
    <w:rsid w:val="00C716C3"/>
    <w:rsid w:val="00C7301A"/>
    <w:rsid w:val="00C734F5"/>
    <w:rsid w:val="00C73A42"/>
    <w:rsid w:val="00C73ECA"/>
    <w:rsid w:val="00C74050"/>
    <w:rsid w:val="00C77C42"/>
    <w:rsid w:val="00C832AA"/>
    <w:rsid w:val="00C86D1B"/>
    <w:rsid w:val="00C90D6A"/>
    <w:rsid w:val="00C96E44"/>
    <w:rsid w:val="00C970FD"/>
    <w:rsid w:val="00CA02F5"/>
    <w:rsid w:val="00CA4FF2"/>
    <w:rsid w:val="00CA67B2"/>
    <w:rsid w:val="00CB1F78"/>
    <w:rsid w:val="00CB4F33"/>
    <w:rsid w:val="00CB6D84"/>
    <w:rsid w:val="00CC2F4A"/>
    <w:rsid w:val="00CC4762"/>
    <w:rsid w:val="00CC502B"/>
    <w:rsid w:val="00CC6719"/>
    <w:rsid w:val="00CE0C1D"/>
    <w:rsid w:val="00CF3689"/>
    <w:rsid w:val="00CF73A4"/>
    <w:rsid w:val="00CF7603"/>
    <w:rsid w:val="00D05EAA"/>
    <w:rsid w:val="00D23FC2"/>
    <w:rsid w:val="00D27ED5"/>
    <w:rsid w:val="00D27F24"/>
    <w:rsid w:val="00D30D2F"/>
    <w:rsid w:val="00D32813"/>
    <w:rsid w:val="00D416F0"/>
    <w:rsid w:val="00D46259"/>
    <w:rsid w:val="00D507EB"/>
    <w:rsid w:val="00D51710"/>
    <w:rsid w:val="00D51E85"/>
    <w:rsid w:val="00D55830"/>
    <w:rsid w:val="00D74733"/>
    <w:rsid w:val="00D84376"/>
    <w:rsid w:val="00D952E4"/>
    <w:rsid w:val="00D96ABC"/>
    <w:rsid w:val="00DA2A9C"/>
    <w:rsid w:val="00DA4CCA"/>
    <w:rsid w:val="00DB624D"/>
    <w:rsid w:val="00DC7DDB"/>
    <w:rsid w:val="00DE3219"/>
    <w:rsid w:val="00E25F09"/>
    <w:rsid w:val="00E27AFC"/>
    <w:rsid w:val="00E3087E"/>
    <w:rsid w:val="00E318A3"/>
    <w:rsid w:val="00E32D88"/>
    <w:rsid w:val="00E32E55"/>
    <w:rsid w:val="00E3612D"/>
    <w:rsid w:val="00E43DE6"/>
    <w:rsid w:val="00E4585D"/>
    <w:rsid w:val="00E459FC"/>
    <w:rsid w:val="00E47213"/>
    <w:rsid w:val="00E564CC"/>
    <w:rsid w:val="00E65764"/>
    <w:rsid w:val="00E67C41"/>
    <w:rsid w:val="00E71439"/>
    <w:rsid w:val="00E7459A"/>
    <w:rsid w:val="00E75B26"/>
    <w:rsid w:val="00E774EB"/>
    <w:rsid w:val="00E9185A"/>
    <w:rsid w:val="00E9521C"/>
    <w:rsid w:val="00E97D21"/>
    <w:rsid w:val="00EA2348"/>
    <w:rsid w:val="00EA75D4"/>
    <w:rsid w:val="00EA7DE3"/>
    <w:rsid w:val="00EC5A34"/>
    <w:rsid w:val="00EC73A3"/>
    <w:rsid w:val="00ED0BEC"/>
    <w:rsid w:val="00EE2310"/>
    <w:rsid w:val="00EE3A3B"/>
    <w:rsid w:val="00EE3DC9"/>
    <w:rsid w:val="00EE72F1"/>
    <w:rsid w:val="00EE7785"/>
    <w:rsid w:val="00EF1C2C"/>
    <w:rsid w:val="00EF249C"/>
    <w:rsid w:val="00F01001"/>
    <w:rsid w:val="00F01F23"/>
    <w:rsid w:val="00F13E47"/>
    <w:rsid w:val="00F35C62"/>
    <w:rsid w:val="00F37602"/>
    <w:rsid w:val="00F513F3"/>
    <w:rsid w:val="00F518B5"/>
    <w:rsid w:val="00F56706"/>
    <w:rsid w:val="00F71FD5"/>
    <w:rsid w:val="00F73375"/>
    <w:rsid w:val="00F74C97"/>
    <w:rsid w:val="00F74CBC"/>
    <w:rsid w:val="00F80110"/>
    <w:rsid w:val="00F82F14"/>
    <w:rsid w:val="00F83679"/>
    <w:rsid w:val="00F85D58"/>
    <w:rsid w:val="00F97B60"/>
    <w:rsid w:val="00FA2DA9"/>
    <w:rsid w:val="00FC5531"/>
    <w:rsid w:val="00FC57AD"/>
    <w:rsid w:val="00FE389F"/>
    <w:rsid w:val="00FF1818"/>
    <w:rsid w:val="00FF23EA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0EA"/>
  <w15:docId w15:val="{D3CA51BE-7CF5-42B2-B014-28FA1CE2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character" w:customStyle="1" w:styleId="s1">
    <w:name w:val="s1"/>
    <w:rsid w:val="00C15A67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67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F1627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character" w:styleId="ad">
    <w:name w:val="Hyperlink"/>
    <w:basedOn w:val="a0"/>
    <w:uiPriority w:val="99"/>
    <w:semiHidden/>
    <w:unhideWhenUsed/>
    <w:rsid w:val="004122E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122E8"/>
    <w:rPr>
      <w:color w:val="800080"/>
      <w:u w:val="single"/>
    </w:rPr>
  </w:style>
  <w:style w:type="paragraph" w:customStyle="1" w:styleId="msonormal0">
    <w:name w:val="msonormal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3311">
    <w:name w:val="xl3311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2">
    <w:name w:val="xl331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3313">
    <w:name w:val="xl3313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3314">
    <w:name w:val="xl331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5">
    <w:name w:val="xl331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6">
    <w:name w:val="xl331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7">
    <w:name w:val="xl331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8">
    <w:name w:val="xl331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9">
    <w:name w:val="xl3319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0">
    <w:name w:val="xl332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1">
    <w:name w:val="xl332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22">
    <w:name w:val="xl332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3">
    <w:name w:val="xl332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24">
    <w:name w:val="xl3324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25">
    <w:name w:val="xl332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6">
    <w:name w:val="xl332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7">
    <w:name w:val="xl332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8">
    <w:name w:val="xl332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9">
    <w:name w:val="xl332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0">
    <w:name w:val="xl333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1">
    <w:name w:val="xl333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2">
    <w:name w:val="xl3332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3">
    <w:name w:val="xl333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4">
    <w:name w:val="xl333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5">
    <w:name w:val="xl3335"/>
    <w:basedOn w:val="a"/>
    <w:rsid w:val="004122E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6">
    <w:name w:val="xl333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7">
    <w:name w:val="xl3337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338">
    <w:name w:val="xl3338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39">
    <w:name w:val="xl3339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40">
    <w:name w:val="xl334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1">
    <w:name w:val="xl334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2">
    <w:name w:val="xl334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3">
    <w:name w:val="xl334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4">
    <w:name w:val="xl334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5">
    <w:name w:val="xl334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46">
    <w:name w:val="xl334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7">
    <w:name w:val="xl3347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8">
    <w:name w:val="xl334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49">
    <w:name w:val="xl334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0">
    <w:name w:val="xl335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51">
    <w:name w:val="xl335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2">
    <w:name w:val="xl335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53">
    <w:name w:val="xl335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4">
    <w:name w:val="xl335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5">
    <w:name w:val="xl335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6">
    <w:name w:val="xl335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7">
    <w:name w:val="xl3357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8">
    <w:name w:val="xl3358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9">
    <w:name w:val="xl3359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0">
    <w:name w:val="xl3360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1">
    <w:name w:val="xl3361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D558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583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583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583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583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/>
              <a:t>Выполнение ремонтов </a:t>
            </a:r>
          </a:p>
        </c:rich>
      </c:tx>
      <c:layout>
        <c:manualLayout>
          <c:xMode val="edge"/>
          <c:yMode val="edge"/>
          <c:x val="0.37431192660550461"/>
          <c:y val="2.2900763358778626E-2"/>
        </c:manualLayout>
      </c:layout>
      <c:overlay val="0"/>
      <c:spPr>
        <a:noFill/>
        <a:ln w="25496">
          <a:noFill/>
        </a:ln>
      </c:spPr>
    </c:title>
    <c:autoTitleDeleted val="0"/>
    <c:view3D>
      <c:rotX val="17"/>
      <c:hPercent val="17"/>
      <c:rotY val="44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2606903066649086E-3"/>
          <c:y val="0.18795663227086043"/>
          <c:w val="0.9987393724448862"/>
          <c:h val="0.5206773908485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Ремонты основных средств, млн.тенге (без учета з/п, соц.отчисл.)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731365927110278E-3"/>
                  <c:y val="-1.7414630782145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26-4CD7-9118-3618F73F9A2B}"/>
                </c:ext>
              </c:extLst>
            </c:dLbl>
            <c:dLbl>
              <c:idx val="1"/>
              <c:layout>
                <c:manualLayout>
                  <c:x val="1.7058626252624033E-2"/>
                  <c:y val="-1.1769881830310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609652917988656E-2"/>
                      <c:h val="7.9734219269102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026-4CD7-9118-3618F73F9A2B}"/>
                </c:ext>
              </c:extLst>
            </c:dLbl>
            <c:dLbl>
              <c:idx val="2"/>
              <c:layout>
                <c:manualLayout>
                  <c:x val="6.6038471467385453E-3"/>
                  <c:y val="-2.4861057272703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26-4CD7-9118-3618F73F9A2B}"/>
                </c:ext>
              </c:extLst>
            </c:dLbl>
            <c:dLbl>
              <c:idx val="3"/>
              <c:layout>
                <c:manualLayout>
                  <c:x val="4.8037476711430688E-3"/>
                  <c:y val="-3.6646159187818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26-4CD7-9118-3618F73F9A2B}"/>
                </c:ext>
              </c:extLst>
            </c:dLbl>
            <c:dLbl>
              <c:idx val="4"/>
              <c:layout>
                <c:manualLayout>
                  <c:x val="8.5927534224071421E-3"/>
                  <c:y val="-1.8566600950779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26-4CD7-9118-3618F73F9A2B}"/>
                </c:ext>
              </c:extLst>
            </c:dLbl>
            <c:dLbl>
              <c:idx val="5"/>
              <c:layout>
                <c:manualLayout>
                  <c:x val="4.052949254593317E-3"/>
                  <c:y val="1.238672200351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26-4CD7-9118-3618F73F9A2B}"/>
                </c:ext>
              </c:extLst>
            </c:dLbl>
            <c:dLbl>
              <c:idx val="6"/>
              <c:layout>
                <c:manualLayout>
                  <c:x val="1.4036552819856848E-2"/>
                  <c:y val="9.8916144537312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26-4CD7-9118-3618F73F9A2B}"/>
                </c:ext>
              </c:extLst>
            </c:dLbl>
            <c:spPr>
              <a:noFill/>
              <a:ln w="25496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2018г.</c:v>
                </c:pt>
                <c:pt idx="1">
                  <c:v>2019г.  </c:v>
                </c:pt>
                <c:pt idx="2">
                  <c:v>2020г.</c:v>
                </c:pt>
                <c:pt idx="3">
                  <c:v>2021г.</c:v>
                </c:pt>
                <c:pt idx="4">
                  <c:v>1-е полугодие 2022г.</c:v>
                </c:pt>
              </c:strCache>
            </c:strRef>
          </c:cat>
          <c:val>
            <c:numRef>
              <c:f>Sheet1!$B$2:$F$2</c:f>
              <c:numCache>
                <c:formatCode>#\ ##0.0</c:formatCode>
                <c:ptCount val="5"/>
                <c:pt idx="0" formatCode="General">
                  <c:v>478.5</c:v>
                </c:pt>
                <c:pt idx="1">
                  <c:v>517.1</c:v>
                </c:pt>
                <c:pt idx="2">
                  <c:v>551.5</c:v>
                </c:pt>
                <c:pt idx="3">
                  <c:v>589.6</c:v>
                </c:pt>
                <c:pt idx="4">
                  <c:v>262.10000000000002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026-4CD7-9118-3618F73F9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72784384"/>
        <c:axId val="145444224"/>
        <c:axId val="0"/>
      </c:bar3DChart>
      <c:catAx>
        <c:axId val="7278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444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44422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72784384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5238164886026459"/>
          <c:y val="0.85489741900655658"/>
          <c:w val="0.64893445478615275"/>
          <c:h val="0.11492253647734309"/>
        </c:manualLayout>
      </c:layout>
      <c:overlay val="0"/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1371-0178-47BD-B38E-59934BBB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Летучая Александра Валерьевна</cp:lastModifiedBy>
  <cp:revision>31</cp:revision>
  <cp:lastPrinted>2022-07-19T11:01:00Z</cp:lastPrinted>
  <dcterms:created xsi:type="dcterms:W3CDTF">2022-07-19T09:44:00Z</dcterms:created>
  <dcterms:modified xsi:type="dcterms:W3CDTF">2022-07-26T10:19:00Z</dcterms:modified>
</cp:coreProperties>
</file>