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108" w:tblpY="2"/>
        <w:tblW w:w="10084" w:type="dxa"/>
        <w:tblLayout w:type="fixed"/>
        <w:tblLook w:val="01E0" w:firstRow="1" w:lastRow="1" w:firstColumn="1" w:lastColumn="1" w:noHBand="0" w:noVBand="0"/>
      </w:tblPr>
      <w:tblGrid>
        <w:gridCol w:w="3573"/>
        <w:gridCol w:w="2936"/>
        <w:gridCol w:w="3575"/>
      </w:tblGrid>
      <w:tr w:rsidR="006A5B66">
        <w:trPr>
          <w:trHeight w:val="1586"/>
        </w:trPr>
        <w:tc>
          <w:tcPr>
            <w:tcW w:w="3573" w:type="dxa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color w:val="333333"/>
                <w:lang w:eastAsia="ru-RU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2177415</wp:posOffset>
                  </wp:positionH>
                  <wp:positionV relativeFrom="paragraph">
                    <wp:posOffset>-635</wp:posOffset>
                  </wp:positionV>
                  <wp:extent cx="1988820" cy="913130"/>
                  <wp:effectExtent l="0" t="0" r="0" b="0"/>
                  <wp:wrapNone/>
                  <wp:docPr id="1" name="Рисунок 1" descr="Логоти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Логоти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91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bCs/>
                <w:color w:val="333333"/>
                <w:lang w:eastAsia="ru-RU"/>
              </w:rPr>
              <w:t>«СЕВКАЗЭНЕРГО»</w:t>
            </w:r>
          </w:p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color w:val="333333"/>
                <w:lang w:val="kk-KZ" w:eastAsia="ru-RU"/>
              </w:rPr>
              <w:t>Акционерлік қоғамы</w:t>
            </w:r>
          </w:p>
          <w:p w:rsidR="006A5B66" w:rsidRDefault="006A5B66">
            <w:pPr>
              <w:spacing w:after="0" w:line="240" w:lineRule="auto"/>
              <w:rPr>
                <w:rFonts w:ascii="Times New Roman" w:hAnsi="Times New Roman"/>
                <w:color w:val="333333"/>
                <w:lang w:eastAsia="ru-RU"/>
              </w:rPr>
            </w:pPr>
          </w:p>
          <w:p w:rsidR="006A5B66" w:rsidRDefault="006A5B66">
            <w:pPr>
              <w:spacing w:after="0" w:line="240" w:lineRule="auto"/>
              <w:rPr>
                <w:rFonts w:ascii="Times New Roman" w:hAnsi="Times New Roman"/>
                <w:color w:val="333333"/>
                <w:lang w:eastAsia="ru-RU"/>
              </w:rPr>
            </w:pPr>
          </w:p>
          <w:p w:rsidR="006A5B66" w:rsidRDefault="006A5B66">
            <w:pPr>
              <w:spacing w:after="0" w:line="240" w:lineRule="auto"/>
              <w:rPr>
                <w:rFonts w:ascii="Times New Roman" w:hAnsi="Times New Roman"/>
                <w:color w:val="333333"/>
                <w:lang w:eastAsia="ru-RU"/>
              </w:rPr>
            </w:pPr>
          </w:p>
        </w:tc>
        <w:tc>
          <w:tcPr>
            <w:tcW w:w="2936" w:type="dxa"/>
          </w:tcPr>
          <w:p w:rsidR="006A5B66" w:rsidRDefault="006A5B66">
            <w:pPr>
              <w:spacing w:after="0" w:line="240" w:lineRule="auto"/>
              <w:rPr>
                <w:rFonts w:ascii="Times New Roman" w:hAnsi="Times New Roman"/>
                <w:color w:val="333333"/>
                <w:lang w:eastAsia="ru-RU"/>
              </w:rPr>
            </w:pPr>
          </w:p>
        </w:tc>
        <w:tc>
          <w:tcPr>
            <w:tcW w:w="3575" w:type="dxa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lang w:val="kk-KZ" w:eastAsia="ru-RU"/>
              </w:rPr>
            </w:pPr>
            <w:r>
              <w:rPr>
                <w:rFonts w:ascii="Times New Roman" w:hAnsi="Times New Roman"/>
                <w:b/>
                <w:bCs/>
                <w:color w:val="333333"/>
                <w:lang w:val="kk-KZ" w:eastAsia="ru-RU"/>
              </w:rPr>
              <w:t>Акционерное общество</w:t>
            </w:r>
          </w:p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33333"/>
                <w:lang w:val="kk-KZ" w:eastAsia="ru-RU"/>
              </w:rPr>
              <w:t>«СЕВКАЗЭНЕРГО</w:t>
            </w:r>
            <w:r>
              <w:rPr>
                <w:rFonts w:ascii="Times New Roman" w:hAnsi="Times New Roman"/>
                <w:b/>
                <w:bCs/>
                <w:color w:val="333333"/>
                <w:lang w:eastAsia="ru-RU"/>
              </w:rPr>
              <w:t>»</w:t>
            </w:r>
          </w:p>
        </w:tc>
      </w:tr>
    </w:tbl>
    <w:p w:rsidR="006A5B66" w:rsidRDefault="006A5B66">
      <w:pPr>
        <w:spacing w:after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6A5B66" w:rsidRDefault="00FA0320">
      <w:pPr>
        <w:spacing w:after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г. Петропавловск </w:t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</w:r>
      <w:r>
        <w:rPr>
          <w:rFonts w:ascii="Times New Roman" w:hAnsi="Times New Roman"/>
          <w:b/>
          <w:bCs/>
          <w:shd w:val="clear" w:color="auto" w:fill="FFFFFF"/>
        </w:rPr>
        <w:tab/>
        <w:t xml:space="preserve">                             </w:t>
      </w:r>
      <w:r w:rsidRPr="00BB4865">
        <w:rPr>
          <w:rFonts w:ascii="Times New Roman" w:hAnsi="Times New Roman"/>
          <w:b/>
          <w:bCs/>
          <w:shd w:val="clear" w:color="auto" w:fill="FFFFFF"/>
        </w:rPr>
        <w:t>2</w:t>
      </w:r>
      <w:r>
        <w:rPr>
          <w:rFonts w:ascii="Times New Roman" w:hAnsi="Times New Roman"/>
          <w:b/>
          <w:bCs/>
          <w:shd w:val="clear" w:color="auto" w:fill="FFFFFF"/>
        </w:rPr>
        <w:t xml:space="preserve">6 июля 2024 г. </w:t>
      </w:r>
    </w:p>
    <w:p w:rsidR="006A5B66" w:rsidRDefault="006A5B66">
      <w:pPr>
        <w:spacing w:after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6A5B66" w:rsidRDefault="00FA0320">
      <w:pPr>
        <w:spacing w:after="0" w:line="240" w:lineRule="auto"/>
        <w:ind w:firstLine="400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Cs/>
          <w:shd w:val="clear" w:color="auto" w:fill="FFFFFF"/>
        </w:rPr>
        <w:t>Отчет</w:t>
      </w:r>
      <w:r>
        <w:rPr>
          <w:rFonts w:ascii="Times New Roman" w:hAnsi="Times New Roman"/>
          <w:b/>
          <w:lang w:eastAsia="ru-RU"/>
        </w:rPr>
        <w:t xml:space="preserve"> ТОО «Петропавловские Тепловые Сети» </w:t>
      </w:r>
    </w:p>
    <w:p w:rsidR="006A5B66" w:rsidRDefault="00FA032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об исполнении утвержденной тарифной сметы, об исполнении утвержденной инвестиционной программы перед потребителями и иными заинтересованными лицами </w:t>
      </w:r>
      <w:r>
        <w:rPr>
          <w:rFonts w:ascii="Times New Roman" w:hAnsi="Times New Roman"/>
          <w:b/>
          <w:lang w:eastAsia="ru-RU"/>
        </w:rPr>
        <w:t>за 1-е полугодие 202</w:t>
      </w:r>
      <w:r w:rsidR="00295FF5">
        <w:rPr>
          <w:rFonts w:ascii="Times New Roman" w:hAnsi="Times New Roman"/>
          <w:b/>
          <w:lang w:eastAsia="ru-RU"/>
        </w:rPr>
        <w:t>4</w:t>
      </w:r>
      <w:r>
        <w:rPr>
          <w:rFonts w:ascii="Times New Roman" w:hAnsi="Times New Roman"/>
          <w:b/>
          <w:lang w:eastAsia="ru-RU"/>
        </w:rPr>
        <w:t xml:space="preserve"> года</w:t>
      </w:r>
    </w:p>
    <w:p w:rsidR="006A5B66" w:rsidRDefault="006A5B66">
      <w:pPr>
        <w:spacing w:after="0" w:line="240" w:lineRule="auto"/>
        <w:ind w:firstLine="400"/>
        <w:jc w:val="center"/>
        <w:rPr>
          <w:rFonts w:ascii="Times New Roman" w:hAnsi="Times New Roman"/>
          <w:lang w:eastAsia="ru-RU"/>
        </w:rPr>
      </w:pPr>
    </w:p>
    <w:p w:rsidR="006A5B66" w:rsidRDefault="00FA0320">
      <w:pPr>
        <w:spacing w:after="0" w:line="240" w:lineRule="auto"/>
        <w:ind w:firstLine="357"/>
        <w:jc w:val="both"/>
        <w:textAlignment w:val="baseline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ТОО «Петропавловские Тепловые Сети» является </w:t>
      </w:r>
      <w:proofErr w:type="spellStart"/>
      <w:r>
        <w:rPr>
          <w:rFonts w:ascii="Times New Roman" w:hAnsi="Times New Roman"/>
          <w:lang w:eastAsia="ru-RU"/>
        </w:rPr>
        <w:t>энергопередающей</w:t>
      </w:r>
      <w:proofErr w:type="spellEnd"/>
      <w:r>
        <w:rPr>
          <w:rFonts w:ascii="Times New Roman" w:hAnsi="Times New Roman"/>
          <w:lang w:eastAsia="ru-RU"/>
        </w:rPr>
        <w:t xml:space="preserve"> организацией, основным видом деятельности которой является передача и распределение тепловой энергии, поддержание в технически исправном состоянии оборудования тепловых сетей, обеспечение устойчивого теплоснабжения города Петропавловска. </w:t>
      </w:r>
    </w:p>
    <w:p w:rsidR="006A5B66" w:rsidRDefault="00FA0320">
      <w:pPr>
        <w:spacing w:after="0" w:line="240" w:lineRule="auto"/>
        <w:ind w:firstLine="357"/>
        <w:jc w:val="both"/>
        <w:textAlignment w:val="baseline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Наше предприятие за 1 полугодие 2024 года осуществило транспортировку тепловой энергии порядка 76 327 абонентам бытового сектора и 2 506 абонентам промышленных, бюджетных, коммерческих и прочих потребителей.  </w:t>
      </w:r>
    </w:p>
    <w:p w:rsidR="006A5B66" w:rsidRDefault="00FA0320">
      <w:pPr>
        <w:spacing w:after="0" w:line="240" w:lineRule="auto"/>
        <w:ind w:firstLine="35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Протяженность обслуживаемых предприятием тепловых сетей составляет 238,96 км, а именно:</w:t>
      </w:r>
    </w:p>
    <w:p w:rsidR="006A5B66" w:rsidRDefault="00FA0320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180" w:firstLine="35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Магистральных трубопроводов (</w:t>
      </w:r>
      <w:proofErr w:type="spellStart"/>
      <w:r>
        <w:rPr>
          <w:rFonts w:ascii="Times New Roman" w:hAnsi="Times New Roman"/>
          <w:lang w:eastAsia="ru-RU"/>
        </w:rPr>
        <w:t>Ду</w:t>
      </w:r>
      <w:proofErr w:type="spellEnd"/>
      <w:r>
        <w:rPr>
          <w:rFonts w:ascii="Times New Roman" w:hAnsi="Times New Roman"/>
          <w:lang w:eastAsia="ru-RU"/>
        </w:rPr>
        <w:t xml:space="preserve"> ≥ 300 мм) – 81,16 км </w:t>
      </w:r>
    </w:p>
    <w:p w:rsidR="006A5B66" w:rsidRDefault="00FA0320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180" w:firstLine="35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Распределительных трубопроводов (</w:t>
      </w:r>
      <w:proofErr w:type="spellStart"/>
      <w:r>
        <w:rPr>
          <w:rFonts w:ascii="Times New Roman" w:hAnsi="Times New Roman"/>
          <w:lang w:eastAsia="ru-RU"/>
        </w:rPr>
        <w:t>Ду</w:t>
      </w:r>
      <w:proofErr w:type="spellEnd"/>
      <w:r>
        <w:rPr>
          <w:rFonts w:ascii="Times New Roman" w:hAnsi="Times New Roman"/>
          <w:lang w:eastAsia="ru-RU"/>
        </w:rPr>
        <w:t xml:space="preserve"> </w:t>
      </w:r>
      <w:proofErr w:type="gramStart"/>
      <w:r>
        <w:rPr>
          <w:rFonts w:ascii="Times New Roman" w:hAnsi="Times New Roman"/>
          <w:lang w:eastAsia="ru-RU"/>
        </w:rPr>
        <w:t>&lt; 300</w:t>
      </w:r>
      <w:proofErr w:type="gramEnd"/>
      <w:r>
        <w:rPr>
          <w:rFonts w:ascii="Times New Roman" w:hAnsi="Times New Roman"/>
          <w:lang w:eastAsia="ru-RU"/>
        </w:rPr>
        <w:t xml:space="preserve"> мм) – 148,1 км.</w:t>
      </w:r>
    </w:p>
    <w:p w:rsidR="006A5B66" w:rsidRDefault="00FA0320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180" w:firstLine="35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Сети в доверительном управлении - 9,7 км</w:t>
      </w:r>
      <w:r>
        <w:rPr>
          <w:rFonts w:ascii="Times New Roman" w:eastAsia="MS Mincho" w:hAnsi="Times New Roman"/>
          <w:lang w:eastAsia="ru-RU"/>
        </w:rPr>
        <w:t xml:space="preserve"> </w:t>
      </w:r>
    </w:p>
    <w:p w:rsidR="006A5B66" w:rsidRDefault="00FA0320">
      <w:pPr>
        <w:spacing w:after="0" w:line="240" w:lineRule="auto"/>
        <w:ind w:firstLine="425"/>
        <w:jc w:val="both"/>
        <w:rPr>
          <w:rFonts w:ascii="Times New Roman" w:eastAsia="MS Mincho" w:hAnsi="Times New Roman"/>
          <w:szCs w:val="20"/>
          <w:lang w:eastAsia="ru-RU"/>
        </w:rPr>
      </w:pPr>
      <w:r>
        <w:rPr>
          <w:rFonts w:ascii="Times New Roman" w:eastAsia="MS Mincho" w:hAnsi="Times New Roman"/>
          <w:szCs w:val="20"/>
          <w:lang w:eastAsia="ru-RU"/>
        </w:rPr>
        <w:t xml:space="preserve">С 01.01.2024 года по 30.06.2024 года действовал тариф 3 381,99 тенге без НДС/Гкал утвержденный приказом РГУ «ДКРЕМ МНЭ РК по СКО» от 17.07.2023 года № 94-ОД. </w:t>
      </w:r>
    </w:p>
    <w:p w:rsidR="006A5B66" w:rsidRDefault="006A5B66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A5B66" w:rsidRDefault="00FA032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Основные технико-экономические показатели</w:t>
      </w:r>
    </w:p>
    <w:p w:rsidR="006A5B66" w:rsidRDefault="006A5B66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0093" w:type="dxa"/>
        <w:tblInd w:w="363" w:type="dxa"/>
        <w:tblLayout w:type="fixed"/>
        <w:tblLook w:val="01E0" w:firstRow="1" w:lastRow="1" w:firstColumn="1" w:lastColumn="1" w:noHBand="0" w:noVBand="0"/>
      </w:tblPr>
      <w:tblGrid>
        <w:gridCol w:w="705"/>
        <w:gridCol w:w="6858"/>
        <w:gridCol w:w="1270"/>
        <w:gridCol w:w="1260"/>
      </w:tblGrid>
      <w:tr w:rsidR="006A5B66">
        <w:trPr>
          <w:trHeight w:val="7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Наименование показателей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1-е полугодие 2024 года</w:t>
            </w:r>
          </w:p>
        </w:tc>
      </w:tr>
      <w:tr w:rsidR="006A5B66">
        <w:trPr>
          <w:trHeight w:val="7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обслуживаемых потребителей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ед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78,833</w:t>
            </w:r>
          </w:p>
        </w:tc>
      </w:tr>
      <w:tr w:rsidR="006A5B66">
        <w:trPr>
          <w:trHeight w:val="25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Количество абонентов промышленных, бюджетных, коммерческих и прочих потребителей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абонент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eastAsia="ru-RU"/>
              </w:rPr>
              <w:t>2 506</w:t>
            </w:r>
          </w:p>
        </w:tc>
      </w:tr>
      <w:tr w:rsidR="006A5B66">
        <w:trPr>
          <w:trHeight w:val="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Протяженность обслуживаемых т/сетей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238,96</w:t>
            </w:r>
          </w:p>
        </w:tc>
      </w:tr>
      <w:tr w:rsidR="006A5B66">
        <w:trPr>
          <w:trHeight w:val="5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сетевых районов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6A5B66">
        <w:trPr>
          <w:trHeight w:val="11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перекачивающих НС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ед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</w:tr>
      <w:tr w:rsidR="006A5B66">
        <w:trPr>
          <w:trHeight w:val="15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239</w:t>
            </w:r>
          </w:p>
        </w:tc>
      </w:tr>
      <w:tr w:rsidR="006A5B66">
        <w:trPr>
          <w:trHeight w:val="13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Объем передачи и распределения т/энергии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тыс. Гкал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820,758</w:t>
            </w:r>
          </w:p>
        </w:tc>
      </w:tr>
      <w:tr w:rsidR="006A5B66">
        <w:trPr>
          <w:trHeight w:val="5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Нормативные технические потери т/энергии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15,35</w:t>
            </w:r>
          </w:p>
        </w:tc>
      </w:tr>
      <w:tr w:rsidR="006A5B66">
        <w:trPr>
          <w:trHeight w:val="18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6A5B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6A5B6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тыс. Гкал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 w:eastAsia="ru-RU"/>
              </w:rPr>
            </w:pPr>
            <w:r>
              <w:rPr>
                <w:rFonts w:ascii="Times New Roman" w:hAnsi="Times New Roman"/>
                <w:bCs/>
                <w:lang w:val="kk-KZ" w:eastAsia="ru-RU"/>
              </w:rPr>
              <w:t>161,194</w:t>
            </w:r>
          </w:p>
        </w:tc>
      </w:tr>
      <w:tr w:rsidR="006A5B66">
        <w:trPr>
          <w:trHeight w:val="13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Сверхнормативные потери т/энергии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тыс. Гкал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68,168</w:t>
            </w:r>
          </w:p>
        </w:tc>
      </w:tr>
      <w:tr w:rsidR="006A5B66">
        <w:trPr>
          <w:trHeight w:val="9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Доход от основной деятельности (по предварит. данным)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2776</w:t>
            </w:r>
          </w:p>
        </w:tc>
      </w:tr>
      <w:tr w:rsidR="006A5B66">
        <w:trPr>
          <w:trHeight w:val="16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Затраты (себестоимость, расходы периода) (по предварит. данным)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 w:rsidP="00166E4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kk-KZ" w:eastAsia="ru-RU"/>
              </w:rPr>
              <w:t>25</w:t>
            </w:r>
            <w:r w:rsidR="00166E44">
              <w:rPr>
                <w:rFonts w:ascii="Times New Roman" w:hAnsi="Times New Roman"/>
                <w:lang w:val="kk-KZ" w:eastAsia="ru-RU"/>
              </w:rPr>
              <w:t>34</w:t>
            </w:r>
          </w:p>
        </w:tc>
      </w:tr>
      <w:tr w:rsidR="006A5B66">
        <w:trPr>
          <w:trHeight w:val="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12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Фин. результат от основной деятельности</w:t>
            </w:r>
          </w:p>
          <w:p w:rsidR="006A5B66" w:rsidRDefault="00FA03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(по предварит. данным)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B66" w:rsidRDefault="00FA0320" w:rsidP="00166E4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bookmarkStart w:id="0" w:name="_GoBack"/>
            <w:bookmarkEnd w:id="0"/>
            <w:r w:rsidRPr="00BB4865">
              <w:rPr>
                <w:rFonts w:ascii="Times New Roman" w:hAnsi="Times New Roman"/>
                <w:lang w:val="kk-KZ" w:eastAsia="ru-RU"/>
              </w:rPr>
              <w:t>2</w:t>
            </w:r>
            <w:r w:rsidR="00166E44" w:rsidRPr="00BB4865">
              <w:rPr>
                <w:rFonts w:ascii="Times New Roman" w:hAnsi="Times New Roman"/>
                <w:lang w:val="kk-KZ" w:eastAsia="ru-RU"/>
              </w:rPr>
              <w:t>42</w:t>
            </w:r>
          </w:p>
        </w:tc>
      </w:tr>
    </w:tbl>
    <w:p w:rsidR="006A5B66" w:rsidRDefault="00FA032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ab/>
      </w:r>
    </w:p>
    <w:p w:rsidR="006A5B66" w:rsidRDefault="00FA032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По итогам 1-го полугодия 2024 года суммарные потери тепловой энергии составили 21,84% или </w:t>
      </w:r>
      <w:r>
        <w:rPr>
          <w:rStyle w:val="s1"/>
          <w:rFonts w:ascii="Times New Roman" w:hAnsi="Times New Roman"/>
          <w:b w:val="0"/>
        </w:rPr>
        <w:t xml:space="preserve">229,362 </w:t>
      </w:r>
      <w:r>
        <w:rPr>
          <w:rFonts w:ascii="Times New Roman" w:hAnsi="Times New Roman"/>
          <w:lang w:eastAsia="ru-RU"/>
        </w:rPr>
        <w:t xml:space="preserve">Гкал от отпуска в сеть. 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Основными причинами которых является:</w:t>
      </w:r>
    </w:p>
    <w:p w:rsidR="006A5B66" w:rsidRDefault="00FA032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-высокий уровень износа тепловых сетей (на 01 июля 2024 г. – 77,54% (магистральные сети – 82,74%, распределительные сети – 68,07%; на 01 июля 2023 г. – 74,65% (магистральные сети – 79,81%, распределительные сети – 64,8%), а также предельный износ вспомогательного оборудования, зданий и сооружений (на 01 июля 2023г. – 44,58%, на 01 июля 2022 г. – 36,08%); </w:t>
      </w:r>
      <w:r>
        <w:rPr>
          <w:rFonts w:ascii="Times New Roman" w:hAnsi="Times New Roman"/>
          <w:bCs/>
          <w:lang w:eastAsia="ru-RU"/>
        </w:rPr>
        <w:t xml:space="preserve"> 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затопление подземных теплопроводов;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- отсутствие компенсации за тепловые потери на тепловых сетях на балансе потребителей (частный сектор, тепловые сети на балансе </w:t>
      </w:r>
      <w:proofErr w:type="spellStart"/>
      <w:r>
        <w:rPr>
          <w:rFonts w:ascii="Times New Roman" w:hAnsi="Times New Roman"/>
          <w:bCs/>
          <w:lang w:eastAsia="ru-RU"/>
        </w:rPr>
        <w:t>Акимата</w:t>
      </w:r>
      <w:proofErr w:type="spellEnd"/>
      <w:r>
        <w:rPr>
          <w:rFonts w:ascii="Times New Roman" w:hAnsi="Times New Roman"/>
          <w:bCs/>
          <w:lang w:eastAsia="ru-RU"/>
        </w:rPr>
        <w:t>).</w:t>
      </w:r>
    </w:p>
    <w:p w:rsidR="006A5B66" w:rsidRDefault="00FA032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За 1 полугодие 2024 года произведен плановый ремонт магистральных и разводящих сетей </w:t>
      </w:r>
      <w:proofErr w:type="gramStart"/>
      <w:r>
        <w:rPr>
          <w:rFonts w:ascii="Times New Roman" w:hAnsi="Times New Roman"/>
          <w:lang w:eastAsia="ru-RU"/>
        </w:rPr>
        <w:t>с заменой труб</w:t>
      </w:r>
      <w:proofErr w:type="gramEnd"/>
      <w:r>
        <w:rPr>
          <w:rFonts w:ascii="Times New Roman" w:hAnsi="Times New Roman"/>
          <w:lang w:eastAsia="ru-RU"/>
        </w:rPr>
        <w:t xml:space="preserve"> общей протяжённостью 2,435 км, при годовом плане 6,38 км (38,2%);</w:t>
      </w:r>
    </w:p>
    <w:p w:rsidR="006A5B66" w:rsidRDefault="00FA0320">
      <w:pPr>
        <w:tabs>
          <w:tab w:val="left" w:pos="284"/>
          <w:tab w:val="left" w:pos="426"/>
        </w:tabs>
        <w:spacing w:after="0" w:line="240" w:lineRule="auto"/>
        <w:ind w:firstLine="426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Так же предприятием выполнены следующие виды работ: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lastRenderedPageBreak/>
        <w:t xml:space="preserve">- произведена замена запорной арматуры – 56 шт. (при годовом </w:t>
      </w:r>
      <w:proofErr w:type="gramStart"/>
      <w:r>
        <w:rPr>
          <w:rFonts w:ascii="Times New Roman" w:hAnsi="Times New Roman"/>
          <w:bCs/>
          <w:lang w:eastAsia="ru-RU"/>
        </w:rPr>
        <w:t>плане  86</w:t>
      </w:r>
      <w:proofErr w:type="gramEnd"/>
      <w:r>
        <w:rPr>
          <w:rFonts w:ascii="Times New Roman" w:hAnsi="Times New Roman"/>
          <w:bCs/>
          <w:lang w:eastAsia="ru-RU"/>
        </w:rPr>
        <w:t>шт., выполнение составило 65,1%);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- выполнен ремонт тепловых камер – 7 шт. (при годовом плане 8 шт., выполнение составило 87,5%.); 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выполнен ремонт тепловой изоляции 1,416 км (при годовом плане 3,38 км, выполнение составило 41,9%);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проведён текущий ремонт насосного и электросилового оборудования на магистральных насосных станциях, выполнены испытания электродвигателей и насосов. Выполнен ремонт насосного оборудования на абонентских насосных станциях на 37,3 % от запланированного объёма;</w:t>
      </w:r>
    </w:p>
    <w:p w:rsidR="006A5B66" w:rsidRDefault="00FA0320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- производятся работы по восстановлению асфальтного покрытия. Заключен договор, </w:t>
      </w:r>
      <w:proofErr w:type="gramStart"/>
      <w:r>
        <w:rPr>
          <w:rFonts w:ascii="Times New Roman" w:hAnsi="Times New Roman"/>
          <w:bCs/>
          <w:lang w:eastAsia="ru-RU"/>
        </w:rPr>
        <w:t>ведутся  работы</w:t>
      </w:r>
      <w:proofErr w:type="gramEnd"/>
      <w:r>
        <w:rPr>
          <w:rFonts w:ascii="Times New Roman" w:hAnsi="Times New Roman"/>
          <w:bCs/>
          <w:lang w:eastAsia="ru-RU"/>
        </w:rPr>
        <w:t xml:space="preserve"> (при плане 3 300 м2, выполнение составило 16,9%).  </w:t>
      </w:r>
    </w:p>
    <w:p w:rsidR="006A5B66" w:rsidRDefault="00FA0320">
      <w:pPr>
        <w:tabs>
          <w:tab w:val="left" w:pos="284"/>
          <w:tab w:val="left" w:pos="426"/>
        </w:tabs>
        <w:spacing w:after="0" w:line="240" w:lineRule="auto"/>
        <w:ind w:firstLine="426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Ремонты не приводящие к увеличению стоимости основных средств выполнены на сумму 188,214 млн. тенге.</w:t>
      </w:r>
    </w:p>
    <w:p w:rsidR="006A5B66" w:rsidRDefault="006A5B6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</w:p>
    <w:p w:rsidR="006A5B66" w:rsidRDefault="00FA0320">
      <w:pPr>
        <w:tabs>
          <w:tab w:val="left" w:pos="284"/>
          <w:tab w:val="left" w:pos="426"/>
        </w:tabs>
        <w:spacing w:after="0" w:line="240" w:lineRule="auto"/>
        <w:ind w:firstLine="426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72200" cy="20097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A5B66" w:rsidRDefault="00FA0320">
      <w:pPr>
        <w:tabs>
          <w:tab w:val="left" w:pos="284"/>
        </w:tabs>
        <w:spacing w:after="0" w:line="240" w:lineRule="auto"/>
        <w:ind w:firstLine="426"/>
        <w:jc w:val="center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shd w:val="clear" w:color="auto" w:fill="FFFFFF"/>
          <w:lang w:eastAsia="ru-RU"/>
        </w:rPr>
        <w:t xml:space="preserve">Динамика выполнения объемов ремонтов за 2020 – 1-е полугодие 2024 гг., </w:t>
      </w:r>
      <w:proofErr w:type="spellStart"/>
      <w:proofErr w:type="gramStart"/>
      <w:r>
        <w:rPr>
          <w:rFonts w:ascii="Times New Roman" w:hAnsi="Times New Roman"/>
          <w:b/>
          <w:bCs/>
          <w:shd w:val="clear" w:color="auto" w:fill="FFFFFF"/>
          <w:lang w:eastAsia="ru-RU"/>
        </w:rPr>
        <w:t>млн.тенге</w:t>
      </w:r>
      <w:proofErr w:type="spellEnd"/>
      <w:proofErr w:type="gramEnd"/>
    </w:p>
    <w:p w:rsidR="006A5B66" w:rsidRDefault="006A5B6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iCs/>
          <w:shd w:val="clear" w:color="auto" w:fill="FFFFFF"/>
        </w:rPr>
        <w:t xml:space="preserve">Инвестиционная программа ТОО «Петропавловские Тепловые Сети» с учетом изменений и дополнений утверждена совместным приказом Департамента Комитета по регулированию естественных монополий МНЭ РК по СКО от 01.03.2024г. №32-ОД и Управления энергетики и жилищно-коммунального хозяйства </w:t>
      </w:r>
      <w:proofErr w:type="spellStart"/>
      <w:r>
        <w:rPr>
          <w:rFonts w:ascii="Times New Roman" w:hAnsi="Times New Roman"/>
          <w:iCs/>
          <w:shd w:val="clear" w:color="auto" w:fill="FFFFFF"/>
        </w:rPr>
        <w:t>акимата</w:t>
      </w:r>
      <w:proofErr w:type="spellEnd"/>
      <w:r>
        <w:rPr>
          <w:rFonts w:ascii="Times New Roman" w:hAnsi="Times New Roman"/>
          <w:iCs/>
          <w:shd w:val="clear" w:color="auto" w:fill="FFFFFF"/>
        </w:rPr>
        <w:t xml:space="preserve"> СКО от 07.03.2024г. №49-ОД.</w:t>
      </w:r>
      <w:r>
        <w:rPr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  <w:lang w:eastAsia="ru-RU"/>
        </w:rPr>
        <w:t xml:space="preserve">В 1-ом полугодии 2024 года, в рамках инвестиционной программы предприятия выполнение составило 73 235 тыс. тенге без НДС при годовом плане </w:t>
      </w:r>
      <w:r>
        <w:rPr>
          <w:rFonts w:ascii="Times New Roman" w:hAnsi="Times New Roman"/>
        </w:rPr>
        <w:t>816 563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hd w:val="clear" w:color="auto" w:fill="FFFFFF"/>
          <w:lang w:eastAsia="ru-RU"/>
        </w:rPr>
        <w:t xml:space="preserve">тыс. тенге или 9%. Низкий процент исполнения связан с сезонным характером выполнения строительно-монтажных работ. Работы по замене трубопровода и оборудования выполняются в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межотопительный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период с мая по сентябрь, а основная их часть приходится на летний период. 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В текущем году продолжены работы по проекту: «Реконструкция ТМ№3 2Ду500мм по ул.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Сатпаева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от ТК-6-19 до ТК-3-15г», период реализации проекта: 2022-2024 годы. Общая стоимость проекта составляет 1 252,7 млн. тенге без НДС, в том числе на 2024 год предусмотрено 271,711 млн. тенге. В рамках проекта предусмотрено выполнить реконструкцию магистрального трубопровода Ду500мм общей протяженностью 1 510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п.м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., в том числе: в 2024 году – 300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п.м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. В текущем году работы начались с 22.04.2024г. Предоставлены акты выполненных работ на сумму 71,758 млн. тенге. Работы планируются завершить в июле. 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В текущем году планируется начать реализацию проекта </w:t>
      </w:r>
      <w:r>
        <w:rPr>
          <w:rFonts w:ascii="Times New Roman" w:hAnsi="Times New Roman"/>
        </w:rPr>
        <w:t xml:space="preserve">«Реконструкция ТМ№6 2Ду400-500мм по ул. </w:t>
      </w:r>
      <w:proofErr w:type="spellStart"/>
      <w:r>
        <w:rPr>
          <w:rFonts w:ascii="Times New Roman" w:hAnsi="Times New Roman"/>
        </w:rPr>
        <w:t>Ружейникова</w:t>
      </w:r>
      <w:proofErr w:type="spellEnd"/>
      <w:r>
        <w:rPr>
          <w:rFonts w:ascii="Times New Roman" w:hAnsi="Times New Roman"/>
        </w:rPr>
        <w:t xml:space="preserve"> от УН-6-10 до ТК-6-14». Период реализации проекта: 2024-2026 годы. Общая сумма инвестиций составит порядка 2 млрд. тенге, в том числе в 2024 году – 438 427 тыс. тенге. Общая протяженность реконструируемого трубопровода составит 1 666 </w:t>
      </w:r>
      <w:proofErr w:type="spellStart"/>
      <w:r>
        <w:rPr>
          <w:rFonts w:ascii="Times New Roman" w:hAnsi="Times New Roman"/>
        </w:rPr>
        <w:t>п.м</w:t>
      </w:r>
      <w:proofErr w:type="spellEnd"/>
      <w:r>
        <w:rPr>
          <w:rFonts w:ascii="Times New Roman" w:hAnsi="Times New Roman"/>
        </w:rPr>
        <w:t xml:space="preserve">., из которых в текущем году планируется заменить порядка 330 </w:t>
      </w:r>
      <w:proofErr w:type="spellStart"/>
      <w:r>
        <w:rPr>
          <w:rFonts w:ascii="Times New Roman" w:hAnsi="Times New Roman"/>
        </w:rPr>
        <w:t>п.м</w:t>
      </w:r>
      <w:proofErr w:type="spellEnd"/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Проводятся конкурсные процедуры по определению подрядных организаций на выполнение строительно-монтажных работ и оказание инжиниринговых услуг. </w:t>
      </w:r>
      <w:r>
        <w:rPr>
          <w:rFonts w:ascii="Times New Roman" w:hAnsi="Times New Roman"/>
        </w:rPr>
        <w:t xml:space="preserve">В текущем году строительно-монтажные работы планируется начать в августе и завершить 30 сентября. 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  <w:lang w:eastAsia="ru-RU"/>
        </w:rPr>
        <w:t>Также, в 2024 году предусмотре</w:t>
      </w:r>
      <w:r w:rsidR="005D0A61">
        <w:rPr>
          <w:rFonts w:ascii="Times New Roman" w:hAnsi="Times New Roman"/>
          <w:shd w:val="clear" w:color="auto" w:fill="FFFFFF"/>
          <w:lang w:eastAsia="ru-RU"/>
        </w:rPr>
        <w:t>но выполнение</w:t>
      </w:r>
      <w:r>
        <w:rPr>
          <w:rFonts w:ascii="Times New Roman" w:hAnsi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</w:rPr>
        <w:t>мероприятия</w:t>
      </w:r>
      <w:r>
        <w:t xml:space="preserve"> «</w:t>
      </w:r>
      <w:r>
        <w:rPr>
          <w:rFonts w:ascii="Times New Roman" w:hAnsi="Times New Roman"/>
        </w:rPr>
        <w:t>Капитальный ремонт насосной станции №1», перенесенное с 2023 года на 2024 год по</w:t>
      </w:r>
      <w:r>
        <w:rPr>
          <w:rFonts w:ascii="Times New Roman" w:hAnsi="Times New Roman"/>
          <w:shd w:val="clear" w:color="auto" w:fill="FFFFFF"/>
        </w:rPr>
        <w:t xml:space="preserve"> причинам независящим от субъекта на сумму </w:t>
      </w:r>
      <w:r>
        <w:rPr>
          <w:rFonts w:ascii="Times New Roman" w:hAnsi="Times New Roman"/>
          <w:bCs/>
          <w:shd w:val="clear" w:color="auto" w:fill="FFFFFF"/>
        </w:rPr>
        <w:t xml:space="preserve">193,593 млн. тенге без НДС. </w:t>
      </w:r>
      <w:r>
        <w:rPr>
          <w:rFonts w:ascii="Times New Roman" w:hAnsi="Times New Roman"/>
          <w:shd w:val="clear" w:color="auto" w:fill="FFFFFF"/>
        </w:rPr>
        <w:t>На 30.06.2024г.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hd w:val="clear" w:color="auto" w:fill="FFFFFF"/>
        </w:rPr>
        <w:t xml:space="preserve">завершен демонтаж пристройки здания НС-1, выполнен демонтаж насосного оборудования, ведутся работы по устройству фундамента здания насосной станции и фундаментов под новое насосное оборудование. За май-июнь предоставлены акты выполненных работ на сумму 1,477 млн. тенге без НДС. 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Штатная численность персонала ТОО «ПТС» - 305,5 ед. Фактически предприятие обеспечено персоналом только на 75%. На конец 1 полугодия 2024г. количество вакансий составляет 75 единиц.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Наиболее остро ощущается нехватка рабочего персонала (63 ед.): слесарей по обслуживанию тепловых сетей, слесарей по ремонту оборудования тепловых сетей, газорезчиков, электрослесарей,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электрогазосварщиков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, изолировщиков на термоизоляции.  Неконкурентоспособная заработная плата, наличие вредных факторов производственной среды и трудового процесса создают проблемы в привлечении и удержании персонала, особенно сотрудников, имеющих критически важные навыки. Подбор персонала усложняется по причине низкой заработной платы, снижения привлекательности рабочих профессий, </w:t>
      </w:r>
      <w:r>
        <w:rPr>
          <w:rFonts w:ascii="Times New Roman" w:hAnsi="Times New Roman"/>
          <w:shd w:val="clear" w:color="auto" w:fill="FFFFFF"/>
          <w:lang w:eastAsia="ru-RU"/>
        </w:rPr>
        <w:lastRenderedPageBreak/>
        <w:t>активного развития сферы обслуживания и других видов деятельности, предлагающих свободный режим работы и сравнительно высокий доход.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Ежегодно с целью качественного предоставления тепловой энергии потребителям на основе данных обследований и испытаний разрабатывается тепловой режим системы теплоснабжения, определяются фактические расходы тепла и воды по сети при расчетных условиях, после чего производится разработка оптимального гидравлического режима сети, а также режимов работы магистральных и абонентских насосных станций. 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До начала каждого отопительного сезона на абонентских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теплопотребляющих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установках проводятся подготовительные мероприятия, согласно требованиям «Правил пользования тепловой энергией», после чего представителями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энергопередающей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организации производится техническая приемка, при которой определяется возможность допуска оборудования к эксплуатации, что позволяет повысить надёжность и качество потребления тепловой энергии абонентами.</w:t>
      </w: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С целью обеспечения максимальной открытости и прозрачности процесса оформления технических условий на присоединение к системе централизованного теплоснабжения в промышленную эксплуатацию внедрена автоматизированная система управления процессом технологического присоединения. Также реализована возможность подачи заявления на выдачу технических условий через электронную канцелярию ТОО «Петропавловские Тепловые Сети».</w:t>
      </w:r>
    </w:p>
    <w:p w:rsidR="006A5B66" w:rsidRDefault="00FA0320">
      <w:pPr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первое полугодие 2024г было выдано 118 технических условий на присоединение вновь вводимых объектов к системе централизованного теплоснабжения на общую нагрузку 43Гкал/ч.</w:t>
      </w:r>
    </w:p>
    <w:p w:rsidR="006A5B66" w:rsidRDefault="006A5B66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hd w:val="clear" w:color="auto" w:fill="FFFFFF"/>
          <w:lang w:eastAsia="ru-RU"/>
        </w:rPr>
      </w:pPr>
      <w:r>
        <w:rPr>
          <w:rFonts w:ascii="Times New Roman" w:hAnsi="Times New Roman"/>
          <w:b/>
          <w:shd w:val="clear" w:color="auto" w:fill="FFFFFF"/>
          <w:lang w:eastAsia="ru-RU"/>
        </w:rPr>
        <w:t>ИСПОЛНЕНИЕ ТАРИФНОЙ СМЕТЫ</w:t>
      </w:r>
    </w:p>
    <w:p w:rsidR="006A5B66" w:rsidRDefault="006A5B66">
      <w:pPr>
        <w:tabs>
          <w:tab w:val="left" w:pos="284"/>
        </w:tabs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hd w:val="clear" w:color="auto" w:fill="FFFFFF"/>
          <w:lang w:eastAsia="ru-RU"/>
        </w:rPr>
      </w:pP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val="kk-KZ"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Анализ исполнения утвержденной тарифной сметы на услуги проводится согласно антимонопольному законодательству. Исполнение статей затрат за 1-е полугодие 2024 года, предусмотренных в тарифной смете, утвержденной с 01.01.2024 г. для оказания услуг по передаче и распределению тепловой энергии, представлены ниже.</w:t>
      </w:r>
    </w:p>
    <w:p w:rsidR="006A5B66" w:rsidRDefault="006A5B66">
      <w:pPr>
        <w:tabs>
          <w:tab w:val="left" w:pos="284"/>
        </w:tabs>
        <w:spacing w:after="0" w:line="240" w:lineRule="auto"/>
        <w:ind w:firstLine="284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</w:p>
    <w:p w:rsidR="006A5B66" w:rsidRDefault="00FA0320">
      <w:pPr>
        <w:tabs>
          <w:tab w:val="left" w:pos="284"/>
        </w:tabs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hd w:val="clear" w:color="auto" w:fill="FFFFFF"/>
          <w:lang w:eastAsia="ru-RU"/>
        </w:rPr>
      </w:pPr>
      <w:r>
        <w:rPr>
          <w:rFonts w:ascii="Times New Roman" w:hAnsi="Times New Roman"/>
          <w:b/>
          <w:shd w:val="clear" w:color="auto" w:fill="FFFFFF"/>
          <w:lang w:eastAsia="ru-RU"/>
        </w:rPr>
        <w:t xml:space="preserve">Сведения об исполнении тарифной сметы на регулируемые услуги                                                                       по ТОО "Петропавловские Тепловые Сети" за 1 полугодие 2024 года </w:t>
      </w:r>
    </w:p>
    <w:p w:rsidR="006A5B66" w:rsidRDefault="006A5B66">
      <w:pPr>
        <w:tabs>
          <w:tab w:val="left" w:pos="284"/>
        </w:tabs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hd w:val="clear" w:color="auto" w:fill="FFFFFF"/>
          <w:lang w:eastAsia="ru-RU"/>
        </w:rPr>
      </w:pPr>
    </w:p>
    <w:tbl>
      <w:tblPr>
        <w:tblStyle w:val="afc"/>
        <w:tblW w:w="104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5"/>
        <w:gridCol w:w="2267"/>
        <w:gridCol w:w="993"/>
        <w:gridCol w:w="1134"/>
        <w:gridCol w:w="1417"/>
        <w:gridCol w:w="850"/>
        <w:gridCol w:w="3113"/>
      </w:tblGrid>
      <w:tr w:rsidR="006A5B66">
        <w:trPr>
          <w:trHeight w:val="1213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 xml:space="preserve">№                  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пп</w:t>
            </w:r>
            <w:proofErr w:type="spellEnd"/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 xml:space="preserve">Наименование показателей  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 xml:space="preserve">Ед.                                       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изм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Предусмотрено в утвержденной тарифной смете на 2024 год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Фактически сложившиеся показатели тарифной сметы за 1-е полугодие 2024 года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Откл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., %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Причины отклонения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 xml:space="preserve">Затраты на производство товаров и предоставление услуг, всего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3 459 586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1 838 217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-46,9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Материальные затраты, всего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1 436 938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946 028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-34,2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 w:rsidTr="00FA0320">
        <w:trPr>
          <w:trHeight w:val="218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сырье и материалы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27 569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9 499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-65,5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энергия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340 483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240 756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-29,3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фактическому потреблению т/э, э/э и действующих тарифов за 1 полугодие 2024 года </w:t>
            </w:r>
          </w:p>
        </w:tc>
      </w:tr>
      <w:tr w:rsidR="006A5B66">
        <w:trPr>
          <w:trHeight w:val="54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затраты на  подпитку  тепловой сети (ХОВ)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49 491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23 335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-52,9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фактическому потреблению объему подпитки и действующей цены за 1 полугодие 2024 года 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1.5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затраты на возмещение нормативных технических  потерь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1 019 395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672 438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-34,0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Нормативные технические потери тепловой энергии за 1-е п/г 2024 г. составили 15,35 % или 161,194 Гкал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Расходы на оплату труда, всего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605 348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271 545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-55,1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заработная плата производственного персонала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541 537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242 012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-55,3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 начисленной з/платы и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социальный налог, социальные отчисления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45 272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21 106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-53,4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начисленной заработной платы и фактической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Обязательное социальное медицинское страхование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16 246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7 269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-55,3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начисленной заработной платы и фактической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lastRenderedPageBreak/>
              <w:t>2.4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Обязательные профессиональные  пенсионные взносы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2 293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1 158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-49,5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начисленной заработной платы и фактической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Амортизация основных средств  и нематериальных активов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733 734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362 237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-50,6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 xml:space="preserve">Ремонт, всего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581 653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188 214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-67,6</w:t>
            </w:r>
          </w:p>
        </w:tc>
        <w:tc>
          <w:tcPr>
            <w:tcW w:w="3113" w:type="dxa"/>
            <w:vMerge w:val="restart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За 1 полугодие 2024 года предприятием выполнен плановый ремонт магистральных и распределительных сетей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 заменой труб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 общей протяжённостью 2,435 км, при годовом плане 6,38 км (38 %); в том числе произведена замена 0,808 км - магистральных сетей и 2,206 км – распределительных сетей. Произведен ремонт и восстановление поврежденной изоляции и оголенных участков трубопроводов с использованием стекловатных плит, общей протяженностью 1,416 км, при плане 3, 380 км (41,9%).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  <w:vMerge/>
          </w:tcPr>
          <w:p w:rsidR="006A5B66" w:rsidRDefault="006A5B66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</w:p>
        </w:tc>
      </w:tr>
      <w:tr w:rsidR="006A5B66">
        <w:trPr>
          <w:trHeight w:val="127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капитальный ремонт, не приводящий к росту стоимости основных фондов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581 653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188 214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-67,6</w:t>
            </w:r>
          </w:p>
        </w:tc>
        <w:tc>
          <w:tcPr>
            <w:tcW w:w="3113" w:type="dxa"/>
            <w:vMerge/>
          </w:tcPr>
          <w:p w:rsidR="006A5B66" w:rsidRDefault="006A5B66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 xml:space="preserve">Прочие затраты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101 913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70 193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-31,1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сторонних организаций производственного характера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68 709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52 579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-23,5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из них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стороннего транспорта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63 245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52 251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-17,4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производственной необходимости в автотранспортных услугах для осуществления регулируемого вида деятельности 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поверка тепловых счетчиков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593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услуги по испытанию 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эл.оборудования</w:t>
            </w:r>
            <w:proofErr w:type="spellEnd"/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613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поверка приборов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1 295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поверка 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эл.счетчиков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, трансформаторов тока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365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технической экспертизы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1 683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285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-83,1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заключенного договора 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сбор за размещение отходов производства и потребления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71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Статья будет исключена. Вместо данной статьи включена статья по новой формулировке «Утилизация отходов» (5.1.10) 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5.1.8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ремонту оборудования связи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5.1.9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экспертное обследование готовности энергетического оборудования и сетей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844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5.1.10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Утилизация отходов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фактическому объему отходов, переданному на утилизацию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Прочие затраты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33 204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17 614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-47,0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из них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вода и канализация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5 032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2 703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-46,3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фактических объемов потребления водоснабжения за 1 полугодие 2024 года, зафиксированное прибором учета и тарифов ТОО "Кызылжар су"</w:t>
            </w:r>
          </w:p>
        </w:tc>
      </w:tr>
      <w:tr w:rsidR="006A5B66">
        <w:trPr>
          <w:trHeight w:val="94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выплаты работникам имеющим разъездной характер  в пределах обслуживания г. Петропавловска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1 819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1 050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-42,3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необходимости.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охрана труда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13 325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9 279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-30,4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необходимости.</w:t>
            </w:r>
          </w:p>
        </w:tc>
      </w:tr>
      <w:tr w:rsidR="006A5B66">
        <w:trPr>
          <w:trHeight w:val="67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вывозу промышленного мусора,  ТБО, спиленных деревьев и веток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2 672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2 021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-24,4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фактического образования промышленных и коммунально-бытовых отходов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связи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768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-46,1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 в данных услугах и цен 2024 г на данные услуги.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lastRenderedPageBreak/>
              <w:t>5.2.6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канцелярские  товары, бланочная продукция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2 098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877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-58,2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потребности предприятия в канцтоварах, бланочной продукции согласно заключенных договоров  и цен 2024 года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плата за эмиссии в окружающую среду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71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-45,1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5.2.8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расходные материалы к оргтехнике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747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5.2.9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пожарно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 оперативное обслуживание объектов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844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402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-52,4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заключенного договора 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5.2.10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дератизации, дезинсекции и дезинфекции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233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446,4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заключенного договора 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почтово-телеграфные услуги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-60,0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отправленного количества корреспонденции, уведомлений для потребителей услуг и действ. цен в 2024 году  поставщиков услуг.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повышение квалификации и подготовка кадров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802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94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Обязательное страхование работника от  несчастных случаев при исполнении им  трудовых (служебных) обязанностей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4 659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582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-87,5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Страховая премия на 2024 г. рассчитана согласно страховому тарифу, установленному законодательством РК и страховой суммы 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Аттестация рабочих мест по условиям труда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услуги по обеспечению промышленной, пожарной безопасности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289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5.2.16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командировачные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 расходы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II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 xml:space="preserve">Расходы периода, всего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500 792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286 440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-42,8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Общие административные расходы, всего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233 816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81 438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-65,2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заработная плата административного персонала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69 876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51 623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-26,1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 начисленной з/платы и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социальный налог, социальные отчисления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5 842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4 382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-25,0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начисленной заработной платы и фактической численности персонала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Обязательное социальное медицинское страхование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2 096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1 391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-33,6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начисленной заработной платы и фактической численности персонала</w:t>
            </w:r>
          </w:p>
        </w:tc>
      </w:tr>
      <w:tr w:rsidR="006A5B66">
        <w:trPr>
          <w:trHeight w:val="96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6.4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налог на имущество, налог на землю, плата за землю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156 002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24 042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-84,6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требованиям МСФО (IAS) 16 «Основные средства», а также в соответствии с Учетной политикой, по состоянию на 31.12.2021г. была проведена оценка основных средств ТОО «Петропавловские Тепловые Сети», которая повлекла за собой снижение налога на имущество. 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 xml:space="preserve">прочие затраты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19 318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17 134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-11,3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из них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177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2 690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1 419,8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командировочные расходы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535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229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-57,2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</w:t>
            </w:r>
          </w:p>
        </w:tc>
      </w:tr>
      <w:tr w:rsidR="006A5B66">
        <w:trPr>
          <w:trHeight w:val="504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коммунальные услуги (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эл.энергия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, отопление)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802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1 859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131,8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фактическому потреблению т/э, э/э и действующих тарифов.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связи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927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436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-53,0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 в данных услугах и цен 2024 г на данные услуги.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периодическая печать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236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-80,9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заключенного договора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стороннего транспорта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14 669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11 107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-24,3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производственной необходимости в автотранспортных услугах для осуществления регулируемого вида деятельности.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lastRenderedPageBreak/>
              <w:t>7.7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банка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1 876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379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-79,8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фактических сумм произведенных платежей и действующих тарифов на услуги обслуживающих предприятие банков в 2024 году</w:t>
            </w:r>
          </w:p>
        </w:tc>
      </w:tr>
      <w:tr w:rsidR="006A5B66">
        <w:trPr>
          <w:trHeight w:val="4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7.8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охрана труда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389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305,2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производственной необходимости в данных расходах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действ.цен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 2024 г. 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другие расходы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20 273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11 982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6"/>
                <w:shd w:val="clear" w:color="auto" w:fill="FFFFFF"/>
                <w:lang w:eastAsia="ru-RU"/>
              </w:rPr>
              <w:t>-40,9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канцелярские товары, бланочная продукция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1 135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492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-56,7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потребности предприятия в канцтоварах, бланочной продукции согласно заключенных договоров  и цен 2024 года</w:t>
            </w:r>
          </w:p>
        </w:tc>
      </w:tr>
      <w:tr w:rsidR="006A5B66">
        <w:trPr>
          <w:trHeight w:val="516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плата за использование радиочастотного спектра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263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171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-35,0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фактически начисленных платежей за 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полуг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 2024 года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СМИ (объявления)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1 247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980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-21,4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отправленного количества корреспонденции, уведомлений для потребителей услуг и действ. цен в 2023 году  поставщиков услуг.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расходные материалы к оргтехнике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278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содержание зданий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-50,0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производственной необходимости 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вода и канализация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48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-18,8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фактических объемов потребления водоснабжения за 1 полугодие 2024 года, зафиксированное прибором учета и тарифов ТОО "Кызылжар су"</w:t>
            </w:r>
          </w:p>
        </w:tc>
      </w:tr>
      <w:tr w:rsidR="006A5B66">
        <w:trPr>
          <w:trHeight w:val="362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дератизации, дезинсекции и дезинфекции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1 300,0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заключенного договора 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8.8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почтово-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телеграфские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 услуги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54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47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-13,0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 отправленного количества корреспонденции, уведомлений для потребителей услуг и действ. цен в 2023 году  поставщиков услуг.</w:t>
            </w:r>
          </w:p>
        </w:tc>
      </w:tr>
      <w:tr w:rsidR="006A5B66">
        <w:trPr>
          <w:trHeight w:val="72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8.9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 нотариуса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Согласно фактических объемов потребления водоснабжения за 1 полугодие 2024 года, зафиксированное прибором учета и тарифов ТОО "Кызылжар су"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8.10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повышение квалификации административного персонала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156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94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8.11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Обязательное страхование работника от  несчастных случаев при исполнении им  трудовых (служебных) обязанностей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890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117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-86,9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 xml:space="preserve">Согласно заключенного договора </w:t>
            </w:r>
          </w:p>
        </w:tc>
      </w:tr>
      <w:tr w:rsidR="006A5B66">
        <w:trPr>
          <w:trHeight w:val="96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8.12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НТБ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115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аннулированы в связи с закрытием Северо-Казахстанского филиала АО «Республиканская научно-техническая библиотека» и будут перераспределены на другие статьи при корректировке тарифной сметы.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8.13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охранных предприятий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9 133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7 906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-13,4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8.14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обязательное экологическое страхование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1 336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852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-36,2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75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8.15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услуги по 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тех.обслуживанию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 пожарно-охранной сигнализации и системы видеонаблюдения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730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791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696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8.16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 по  проведению энергетического обследования (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энергоаудит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55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8.17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приему ливневых поверхностных и промышленных сточных вод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1 569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533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-66,0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1267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lastRenderedPageBreak/>
              <w:t>8.18.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Авторское сопровождение  технической 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поддржки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  информационной системы  теплоснабжающего предприятия  на базе  инструментальных средств  ИГС "</w:t>
            </w:r>
            <w:proofErr w:type="spellStart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CityCom-ТеплоГраф</w:t>
            </w:r>
            <w:proofErr w:type="spellEnd"/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"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3 186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-100,0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1809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8.19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Услуги по организации и проведению  второго надзорного аудита по системе менеджмента качества, первого надзорного аудита по системе экологического менеджмента и по системе менеджмента охраны здоровья и обеспечения безопасности труда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8.20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 xml:space="preserve">услуги по обеспечению промышленной, пожарной безопасности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408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 xml:space="preserve">Расходы на выплату вознаграждений  по займу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227 385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175 886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6"/>
                <w:shd w:val="clear" w:color="auto" w:fill="FFFFFF"/>
                <w:lang w:eastAsia="ru-RU"/>
              </w:rPr>
              <w:t>-22,6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Затраты пройдут во 2 полугодии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III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Всего затрат на предоставление услуг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3 960 377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2 124 657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-46,4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IV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Доход (РБА*СП)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647 602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651 138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63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V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Регулируемая база задействованных активов (РБА)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12 995 602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13 468 675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3,6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VI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Всего доходов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тыс.тенге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4 607 979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2 775 795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-39,8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VII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Объем предоставляемых услуг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тыс.Гкал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1 362,507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820,758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-39,8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VIII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 xml:space="preserve">Нормативные технические потери 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тыс.Гкал</w:t>
            </w:r>
            <w:proofErr w:type="spellEnd"/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307,623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161,194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-47,6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>
        <w:trPr>
          <w:trHeight w:val="315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%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18,30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15,35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-16,1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  <w:tr w:rsidR="006A5B66" w:rsidTr="00FA0320">
        <w:trPr>
          <w:trHeight w:val="380"/>
        </w:trPr>
        <w:tc>
          <w:tcPr>
            <w:tcW w:w="70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IX</w:t>
            </w:r>
          </w:p>
        </w:tc>
        <w:tc>
          <w:tcPr>
            <w:tcW w:w="226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Тариф (без НДС)</w:t>
            </w:r>
          </w:p>
        </w:tc>
        <w:tc>
          <w:tcPr>
            <w:tcW w:w="99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  <w:lang w:eastAsia="ru-RU"/>
              </w:rPr>
              <w:t>тенге/         Гкал</w:t>
            </w:r>
          </w:p>
        </w:tc>
        <w:tc>
          <w:tcPr>
            <w:tcW w:w="1134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3 381,99</w:t>
            </w:r>
          </w:p>
        </w:tc>
        <w:tc>
          <w:tcPr>
            <w:tcW w:w="1417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3 381,99</w:t>
            </w:r>
          </w:p>
        </w:tc>
        <w:tc>
          <w:tcPr>
            <w:tcW w:w="850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  <w:shd w:val="clear" w:color="auto" w:fill="FFFFFF"/>
                <w:lang w:eastAsia="ru-RU"/>
              </w:rPr>
              <w:t>0,0</w:t>
            </w:r>
          </w:p>
        </w:tc>
        <w:tc>
          <w:tcPr>
            <w:tcW w:w="3113" w:type="dxa"/>
          </w:tcPr>
          <w:p w:rsidR="006A5B66" w:rsidRDefault="00FA0320">
            <w:pPr>
              <w:tabs>
                <w:tab w:val="left" w:pos="28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  <w:lang w:eastAsia="ru-RU"/>
              </w:rPr>
              <w:t> </w:t>
            </w:r>
          </w:p>
        </w:tc>
      </w:tr>
    </w:tbl>
    <w:p w:rsidR="006A5B66" w:rsidRDefault="00FA0320">
      <w:pPr>
        <w:spacing w:after="0" w:line="240" w:lineRule="auto"/>
        <w:ind w:firstLine="425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 xml:space="preserve">По итогам работы предприятия за 1 полугодие 2024 года фактические затраты на услугу по передаче и распределению тепловой энергии составили </w:t>
      </w:r>
      <w:r>
        <w:rPr>
          <w:rFonts w:ascii="Times New Roman" w:hAnsi="Times New Roman"/>
          <w:lang w:val="kk-KZ" w:eastAsia="ru-RU"/>
        </w:rPr>
        <w:t>2 776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shd w:val="clear" w:color="auto" w:fill="FFFFFF"/>
          <w:lang w:eastAsia="ru-RU"/>
        </w:rPr>
        <w:t xml:space="preserve">млн. тенге при плане </w:t>
      </w:r>
      <w:r>
        <w:rPr>
          <w:rFonts w:ascii="Times New Roman" w:hAnsi="Times New Roman"/>
          <w:shd w:val="clear" w:color="auto" w:fill="FFFFFF"/>
          <w:lang w:val="kk-KZ" w:eastAsia="ru-RU"/>
        </w:rPr>
        <w:t>4 608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shd w:val="clear" w:color="auto" w:fill="FFFFFF"/>
          <w:lang w:eastAsia="ru-RU"/>
        </w:rPr>
        <w:t>млн. тенге. Затраты будут освоены во втором полугодии отчетного года.</w:t>
      </w:r>
    </w:p>
    <w:p w:rsidR="006A5B66" w:rsidRDefault="006A5B66">
      <w:pPr>
        <w:spacing w:after="0" w:line="240" w:lineRule="auto"/>
        <w:ind w:firstLine="425"/>
        <w:jc w:val="both"/>
        <w:outlineLvl w:val="0"/>
        <w:rPr>
          <w:rFonts w:ascii="Times New Roman" w:hAnsi="Times New Roman"/>
          <w:shd w:val="clear" w:color="auto" w:fill="FFFFFF"/>
          <w:lang w:eastAsia="ru-RU"/>
        </w:rPr>
      </w:pPr>
    </w:p>
    <w:p w:rsidR="006A5B66" w:rsidRDefault="00FA0320">
      <w:pPr>
        <w:spacing w:after="0" w:line="240" w:lineRule="auto"/>
        <w:ind w:firstLine="425"/>
        <w:jc w:val="both"/>
        <w:rPr>
          <w:rFonts w:ascii="Times New Roman" w:hAnsi="Times New Roman"/>
          <w:b/>
          <w:u w:val="single"/>
          <w:lang w:eastAsia="ru-RU"/>
        </w:rPr>
      </w:pPr>
      <w:r>
        <w:rPr>
          <w:rFonts w:ascii="Times New Roman" w:hAnsi="Times New Roman"/>
          <w:b/>
          <w:u w:val="single"/>
          <w:lang w:eastAsia="ru-RU"/>
        </w:rPr>
        <w:t xml:space="preserve">Планы развития предприятия </w:t>
      </w:r>
      <w:r>
        <w:rPr>
          <w:rFonts w:ascii="Times New Roman" w:hAnsi="Times New Roman"/>
          <w:b/>
          <w:u w:val="single"/>
          <w:lang w:val="kk-KZ" w:eastAsia="ru-RU"/>
        </w:rPr>
        <w:t>на 2024</w:t>
      </w:r>
      <w:r>
        <w:rPr>
          <w:rFonts w:ascii="Times New Roman" w:hAnsi="Times New Roman"/>
          <w:b/>
          <w:u w:val="single"/>
          <w:lang w:eastAsia="ru-RU"/>
        </w:rPr>
        <w:t xml:space="preserve"> год</w:t>
      </w:r>
    </w:p>
    <w:p w:rsidR="006A5B66" w:rsidRDefault="006A5B66">
      <w:pPr>
        <w:spacing w:after="0" w:line="240" w:lineRule="auto"/>
        <w:ind w:firstLine="425"/>
        <w:jc w:val="both"/>
        <w:rPr>
          <w:rFonts w:ascii="Times New Roman" w:hAnsi="Times New Roman"/>
          <w:b/>
          <w:u w:val="single"/>
          <w:lang w:eastAsia="ru-RU"/>
        </w:rPr>
      </w:pPr>
    </w:p>
    <w:p w:rsidR="006A5B66" w:rsidRDefault="00FA0320">
      <w:pPr>
        <w:spacing w:after="86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 xml:space="preserve">Планируемый </w:t>
      </w:r>
      <w:r>
        <w:rPr>
          <w:rFonts w:ascii="Times New Roman" w:hAnsi="Times New Roman"/>
        </w:rPr>
        <w:t>объем капитального ремонта на 2-е полугодие 2024 года составляет 3,533 км т/сетей (магистральных – 1,114 км, распределительных – 2,419 км). Предприятие планирует выполнить следующие виды работ:</w:t>
      </w:r>
    </w:p>
    <w:p w:rsidR="006A5B66" w:rsidRDefault="00FA0320">
      <w:pPr>
        <w:spacing w:after="86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1.Замена тепловых сетей 3,533 км трубопровода;</w:t>
      </w:r>
    </w:p>
    <w:p w:rsidR="006A5B66" w:rsidRDefault="00FA0320">
      <w:pPr>
        <w:spacing w:after="86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2.Замена запорной арматуры – 30 шт.;</w:t>
      </w:r>
    </w:p>
    <w:p w:rsidR="006A5B66" w:rsidRDefault="00FA0320">
      <w:pPr>
        <w:spacing w:after="86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3.Ремонт тепловой изоляции – 1,9 км;</w:t>
      </w:r>
    </w:p>
    <w:p w:rsidR="006A5B66" w:rsidRDefault="00FA0320">
      <w:pPr>
        <w:spacing w:after="86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4.Работы по восстановлению асфальтного покрытия – 5 801 м2;</w:t>
      </w:r>
    </w:p>
    <w:p w:rsidR="006A5B66" w:rsidRDefault="00FA0320">
      <w:pPr>
        <w:spacing w:after="86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5.Ремонт насосного оборудования, электрооборудования, текущий ремонт зданий и сооружений.</w:t>
      </w:r>
    </w:p>
    <w:p w:rsidR="006A5B66" w:rsidRDefault="00FA0320">
      <w:pPr>
        <w:spacing w:after="86" w:line="240" w:lineRule="auto"/>
        <w:jc w:val="both"/>
      </w:pPr>
      <w:r>
        <w:rPr>
          <w:rFonts w:ascii="Times New Roman" w:hAnsi="Times New Roman"/>
        </w:rPr>
        <w:t>Объем капитального ремонта на 2-е полугодие 2024 года составляет 394 млн. тенге.</w:t>
      </w:r>
    </w:p>
    <w:p w:rsidR="006A5B66" w:rsidRDefault="006A5B66">
      <w:pPr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</w:p>
    <w:p w:rsidR="006A5B66" w:rsidRDefault="00FA0320">
      <w:pPr>
        <w:widowControl w:val="0"/>
        <w:tabs>
          <w:tab w:val="left" w:pos="4215"/>
        </w:tabs>
        <w:spacing w:after="0" w:line="240" w:lineRule="auto"/>
        <w:ind w:firstLine="425"/>
        <w:jc w:val="both"/>
        <w:textAlignment w:val="baseline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u w:val="single"/>
          <w:lang w:eastAsia="ru-RU"/>
        </w:rPr>
        <w:t xml:space="preserve">Планы развития предприятия </w:t>
      </w:r>
      <w:r>
        <w:rPr>
          <w:rFonts w:ascii="Times New Roman" w:hAnsi="Times New Roman"/>
          <w:b/>
          <w:u w:val="single"/>
          <w:lang w:val="kk-KZ" w:eastAsia="ru-RU"/>
        </w:rPr>
        <w:t>на 2-е полугодие 2024</w:t>
      </w:r>
      <w:r>
        <w:rPr>
          <w:rFonts w:ascii="Times New Roman" w:hAnsi="Times New Roman"/>
          <w:b/>
          <w:u w:val="single"/>
          <w:lang w:eastAsia="ru-RU"/>
        </w:rPr>
        <w:t xml:space="preserve"> года </w:t>
      </w:r>
    </w:p>
    <w:p w:rsidR="006A5B66" w:rsidRDefault="006A5B66">
      <w:pPr>
        <w:widowControl w:val="0"/>
        <w:tabs>
          <w:tab w:val="left" w:pos="4215"/>
        </w:tabs>
        <w:spacing w:after="0" w:line="240" w:lineRule="auto"/>
        <w:ind w:firstLine="425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6A5B66" w:rsidRDefault="00FA0320">
      <w:pPr>
        <w:tabs>
          <w:tab w:val="left" w:pos="284"/>
        </w:tabs>
        <w:ind w:firstLine="284"/>
        <w:jc w:val="both"/>
        <w:outlineLvl w:val="0"/>
        <w:rPr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Во втором полугодии 2024 года в </w:t>
      </w:r>
      <w:r>
        <w:rPr>
          <w:rFonts w:ascii="Times New Roman" w:hAnsi="Times New Roman"/>
          <w:shd w:val="clear" w:color="auto" w:fill="FFFFFF"/>
          <w:lang w:eastAsia="ru-RU"/>
        </w:rPr>
        <w:t xml:space="preserve">рамках инвестиционной программы предприятия предусмотрено завершение мероприятий: «Реконструкция ТМ№3 2Ду500мм по ул.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Сатпаева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от ТК-6-19 до ТК-3-15г», «Реконструкция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тепломагистрали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№6 2Ду400-2Ду500мм по ул. </w:t>
      </w:r>
      <w:proofErr w:type="spellStart"/>
      <w:r>
        <w:rPr>
          <w:rFonts w:ascii="Times New Roman" w:hAnsi="Times New Roman"/>
          <w:shd w:val="clear" w:color="auto" w:fill="FFFFFF"/>
          <w:lang w:eastAsia="ru-RU"/>
        </w:rPr>
        <w:t>Ружейникова</w:t>
      </w:r>
      <w:proofErr w:type="spellEnd"/>
      <w:r>
        <w:rPr>
          <w:rFonts w:ascii="Times New Roman" w:hAnsi="Times New Roman"/>
          <w:shd w:val="clear" w:color="auto" w:fill="FFFFFF"/>
          <w:lang w:eastAsia="ru-RU"/>
        </w:rPr>
        <w:t xml:space="preserve"> от УН-6-10 до ТК-6-14»., а также «Капитального ремонт насосной станции №1».</w:t>
      </w:r>
    </w:p>
    <w:p w:rsidR="006A5B66" w:rsidRDefault="006A5B66">
      <w:pPr>
        <w:spacing w:after="0" w:line="240" w:lineRule="auto"/>
        <w:contextualSpacing/>
        <w:jc w:val="both"/>
        <w:rPr>
          <w:rFonts w:ascii="Times New Roman" w:hAnsi="Times New Roman"/>
          <w:bCs/>
          <w:shd w:val="clear" w:color="auto" w:fill="FFFFFF"/>
        </w:rPr>
      </w:pPr>
    </w:p>
    <w:p w:rsidR="006A5B66" w:rsidRDefault="00FA032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18"/>
          <w:szCs w:val="18"/>
          <w:shd w:val="clear" w:color="auto" w:fill="FFFFFF"/>
        </w:rPr>
      </w:pPr>
      <w:r>
        <w:rPr>
          <w:rFonts w:ascii="Times New Roman" w:hAnsi="Times New Roman"/>
          <w:b/>
          <w:bCs/>
          <w:i/>
          <w:sz w:val="18"/>
          <w:szCs w:val="18"/>
          <w:shd w:val="clear" w:color="auto" w:fill="FFFFFF"/>
        </w:rPr>
        <w:t xml:space="preserve">Планово-экономический отдел </w:t>
      </w:r>
    </w:p>
    <w:p w:rsidR="006A5B66" w:rsidRDefault="00FA032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18"/>
          <w:szCs w:val="18"/>
          <w:shd w:val="clear" w:color="auto" w:fill="FFFFFF"/>
        </w:rPr>
      </w:pPr>
      <w:r>
        <w:rPr>
          <w:rFonts w:ascii="Times New Roman" w:hAnsi="Times New Roman"/>
          <w:b/>
          <w:bCs/>
          <w:i/>
          <w:sz w:val="18"/>
          <w:szCs w:val="18"/>
          <w:shd w:val="clear" w:color="auto" w:fill="FFFFFF"/>
        </w:rPr>
        <w:t>ТОО «Петропавловские Тепловые Сети»</w:t>
      </w:r>
    </w:p>
    <w:p w:rsidR="006A5B66" w:rsidRDefault="00FA032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18"/>
          <w:szCs w:val="18"/>
          <w:shd w:val="clear" w:color="auto" w:fill="FFFFFF"/>
          <w:lang w:val="kk-KZ"/>
        </w:rPr>
      </w:pPr>
      <w:r>
        <w:rPr>
          <w:rFonts w:ascii="Times New Roman" w:hAnsi="Times New Roman"/>
          <w:b/>
          <w:bCs/>
          <w:i/>
          <w:sz w:val="18"/>
          <w:szCs w:val="18"/>
          <w:shd w:val="clear" w:color="auto" w:fill="FFFFFF"/>
        </w:rPr>
        <w:t xml:space="preserve">Тел.: +7(7152) 52-26-90 </w:t>
      </w:r>
    </w:p>
    <w:sectPr w:rsidR="006A5B66">
      <w:pgSz w:w="11906" w:h="16838"/>
      <w:pgMar w:top="568" w:right="424" w:bottom="284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(K)">
    <w:altName w:val="Times New Roman"/>
    <w:charset w:val="CC"/>
    <w:family w:val="roman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1F88"/>
    <w:multiLevelType w:val="multilevel"/>
    <w:tmpl w:val="CC4888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3D7319"/>
    <w:multiLevelType w:val="multilevel"/>
    <w:tmpl w:val="9B6A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6A5B66"/>
    <w:rsid w:val="00166E44"/>
    <w:rsid w:val="00295FF5"/>
    <w:rsid w:val="00366663"/>
    <w:rsid w:val="005D0A61"/>
    <w:rsid w:val="006A5B66"/>
    <w:rsid w:val="00BB4865"/>
    <w:rsid w:val="00FA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19F89-EBF6-4FF8-93A8-34AA91F1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9F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A10449"/>
    <w:rPr>
      <w:rFonts w:ascii="Calibri" w:eastAsia="Times New Roman" w:hAnsi="Calibri" w:cs="Times New Roman"/>
    </w:rPr>
  </w:style>
  <w:style w:type="character" w:customStyle="1" w:styleId="2">
    <w:name w:val="Основной текст 2 Знак"/>
    <w:basedOn w:val="a0"/>
    <w:link w:val="20"/>
    <w:uiPriority w:val="99"/>
    <w:semiHidden/>
    <w:qFormat/>
    <w:rsid w:val="00B043A8"/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795198"/>
    <w:rPr>
      <w:rFonts w:ascii="Tahoma" w:eastAsia="Times New Roman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0B2629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0B2629"/>
    <w:rPr>
      <w:rFonts w:ascii="Calibri" w:eastAsia="Times New Roman" w:hAnsi="Calibri" w:cs="Times New Roman"/>
    </w:rPr>
  </w:style>
  <w:style w:type="character" w:customStyle="1" w:styleId="s1">
    <w:name w:val="s1"/>
    <w:qFormat/>
    <w:rsid w:val="00C15A67"/>
    <w:rPr>
      <w:rFonts w:ascii="Times New Roman(K)" w:hAnsi="Times New Roman(K)" w:cs="Times New Roman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b">
    <w:name w:val="Hyperlink"/>
    <w:basedOn w:val="a0"/>
    <w:uiPriority w:val="99"/>
    <w:semiHidden/>
    <w:unhideWhenUsed/>
    <w:rsid w:val="004122E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122E8"/>
    <w:rPr>
      <w:color w:val="800080"/>
      <w:u w:val="single"/>
    </w:rPr>
  </w:style>
  <w:style w:type="character" w:styleId="ad">
    <w:name w:val="annotation reference"/>
    <w:basedOn w:val="a0"/>
    <w:uiPriority w:val="99"/>
    <w:semiHidden/>
    <w:unhideWhenUsed/>
    <w:qFormat/>
    <w:rsid w:val="00D55830"/>
    <w:rPr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semiHidden/>
    <w:qFormat/>
    <w:rsid w:val="00D55830"/>
    <w:rPr>
      <w:rFonts w:ascii="Calibri" w:eastAsia="Times New Roman" w:hAnsi="Calibri" w:cs="Times New Roman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qFormat/>
    <w:rsid w:val="00D5583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f2">
    <w:name w:val="Основной текст_"/>
    <w:link w:val="3"/>
    <w:qFormat/>
    <w:rsid w:val="00656D8C"/>
    <w:rPr>
      <w:sz w:val="26"/>
      <w:szCs w:val="26"/>
      <w:shd w:val="clear" w:color="auto" w:fill="FFFFFF"/>
    </w:rPr>
  </w:style>
  <w:style w:type="character" w:customStyle="1" w:styleId="af3">
    <w:name w:val="Символ нумерации"/>
    <w:qFormat/>
  </w:style>
  <w:style w:type="character" w:customStyle="1" w:styleId="af4">
    <w:name w:val="Маркеры"/>
    <w:qFormat/>
    <w:rPr>
      <w:rFonts w:ascii="OpenSymbol" w:eastAsia="OpenSymbol" w:hAnsi="OpenSymbol" w:cs="OpenSymbol"/>
    </w:rPr>
  </w:style>
  <w:style w:type="paragraph" w:styleId="af5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uiPriority w:val="99"/>
    <w:semiHidden/>
    <w:unhideWhenUsed/>
    <w:rsid w:val="00A10449"/>
    <w:pPr>
      <w:spacing w:after="120"/>
    </w:pPr>
  </w:style>
  <w:style w:type="paragraph" w:styleId="af6">
    <w:name w:val="List"/>
    <w:basedOn w:val="a4"/>
    <w:rPr>
      <w:rFonts w:cs="Lucida Sans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styleId="af9">
    <w:name w:val="List Paragraph"/>
    <w:basedOn w:val="a"/>
    <w:uiPriority w:val="34"/>
    <w:qFormat/>
    <w:rsid w:val="00262626"/>
    <w:pPr>
      <w:ind w:left="720"/>
      <w:contextualSpacing/>
    </w:pPr>
  </w:style>
  <w:style w:type="paragraph" w:styleId="20">
    <w:name w:val="Body Text 2"/>
    <w:basedOn w:val="a"/>
    <w:link w:val="2"/>
    <w:uiPriority w:val="99"/>
    <w:semiHidden/>
    <w:unhideWhenUsed/>
    <w:qFormat/>
    <w:rsid w:val="00B043A8"/>
    <w:pPr>
      <w:spacing w:after="120" w:line="480" w:lineRule="auto"/>
    </w:pPr>
  </w:style>
  <w:style w:type="paragraph" w:styleId="a6">
    <w:name w:val="Balloon Text"/>
    <w:basedOn w:val="a"/>
    <w:link w:val="a5"/>
    <w:uiPriority w:val="99"/>
    <w:semiHidden/>
    <w:unhideWhenUsed/>
    <w:qFormat/>
    <w:rsid w:val="007951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0B262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0B262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Текст1"/>
    <w:basedOn w:val="a"/>
    <w:qFormat/>
    <w:rsid w:val="009F1627"/>
    <w:pPr>
      <w:tabs>
        <w:tab w:val="left" w:pos="284"/>
      </w:tabs>
      <w:spacing w:after="260" w:line="240" w:lineRule="auto"/>
      <w:jc w:val="both"/>
    </w:pPr>
    <w:rPr>
      <w:rFonts w:ascii="Times New Roman" w:eastAsia="MS Mincho" w:hAnsi="Times New Roman"/>
      <w:szCs w:val="20"/>
      <w:lang w:val="en-GB"/>
    </w:rPr>
  </w:style>
  <w:style w:type="paragraph" w:customStyle="1" w:styleId="msonormal0">
    <w:name w:val="msonormal"/>
    <w:basedOn w:val="a"/>
    <w:qFormat/>
    <w:rsid w:val="004122E8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rsid w:val="004122E8"/>
    <w:pPr>
      <w:spacing w:beforeAutospacing="1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qFormat/>
    <w:rsid w:val="004122E8"/>
    <w:pPr>
      <w:spacing w:beforeAutospacing="1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xl3311">
    <w:name w:val="xl3311"/>
    <w:basedOn w:val="a"/>
    <w:qFormat/>
    <w:rsid w:val="004122E8"/>
    <w:pPr>
      <w:spacing w:beforeAutospacing="1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12">
    <w:name w:val="xl3312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3313">
    <w:name w:val="xl3313"/>
    <w:basedOn w:val="a"/>
    <w:qFormat/>
    <w:rsid w:val="004122E8"/>
    <w:pPr>
      <w:spacing w:beforeAutospacing="1" w:afterAutospacing="1" w:line="240" w:lineRule="auto"/>
    </w:pPr>
    <w:rPr>
      <w:rFonts w:ascii="Times New Roman" w:hAnsi="Times New Roman"/>
      <w:sz w:val="18"/>
      <w:szCs w:val="18"/>
      <w:lang w:eastAsia="ru-RU"/>
    </w:rPr>
  </w:style>
  <w:style w:type="paragraph" w:customStyle="1" w:styleId="xl3314">
    <w:name w:val="xl3314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15">
    <w:name w:val="xl3315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16">
    <w:name w:val="xl3316"/>
    <w:basedOn w:val="a"/>
    <w:qFormat/>
    <w:rsid w:val="004122E8"/>
    <w:pP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17">
    <w:name w:val="xl3317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18">
    <w:name w:val="xl3318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19">
    <w:name w:val="xl3319"/>
    <w:basedOn w:val="a"/>
    <w:qFormat/>
    <w:rsid w:val="004122E8"/>
    <w:pP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0">
    <w:name w:val="xl3320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1">
    <w:name w:val="xl3321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i/>
      <w:iCs/>
      <w:lang w:eastAsia="ru-RU"/>
    </w:rPr>
  </w:style>
  <w:style w:type="paragraph" w:customStyle="1" w:styleId="xl3322">
    <w:name w:val="xl3322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3">
    <w:name w:val="xl3323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xl3324">
    <w:name w:val="xl3324"/>
    <w:basedOn w:val="a"/>
    <w:qFormat/>
    <w:rsid w:val="004122E8"/>
    <w:pP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25">
    <w:name w:val="xl3325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6">
    <w:name w:val="xl3326"/>
    <w:basedOn w:val="a"/>
    <w:qFormat/>
    <w:rsid w:val="004122E8"/>
    <w:pP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7">
    <w:name w:val="xl3327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8">
    <w:name w:val="xl3328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29">
    <w:name w:val="xl3329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0">
    <w:name w:val="xl3330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31">
    <w:name w:val="xl3331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32">
    <w:name w:val="xl3332"/>
    <w:basedOn w:val="a"/>
    <w:qFormat/>
    <w:rsid w:val="004122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3">
    <w:name w:val="xl3333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4">
    <w:name w:val="xl3334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5">
    <w:name w:val="xl3335"/>
    <w:basedOn w:val="a"/>
    <w:qFormat/>
    <w:rsid w:val="004122E8"/>
    <w:pPr>
      <w:pBdr>
        <w:bottom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6">
    <w:name w:val="xl3336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37">
    <w:name w:val="xl3337"/>
    <w:basedOn w:val="a"/>
    <w:qFormat/>
    <w:rsid w:val="004122E8"/>
    <w:pPr>
      <w:spacing w:beforeAutospacing="1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338">
    <w:name w:val="xl3338"/>
    <w:basedOn w:val="a"/>
    <w:qFormat/>
    <w:rsid w:val="004122E8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3339">
    <w:name w:val="xl3339"/>
    <w:basedOn w:val="a"/>
    <w:qFormat/>
    <w:rsid w:val="004122E8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3340">
    <w:name w:val="xl3340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41">
    <w:name w:val="xl3341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42">
    <w:name w:val="xl3342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43">
    <w:name w:val="xl3343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44">
    <w:name w:val="xl3344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45">
    <w:name w:val="xl3345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xl3346">
    <w:name w:val="xl3346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47">
    <w:name w:val="xl3347"/>
    <w:basedOn w:val="a"/>
    <w:qFormat/>
    <w:rsid w:val="004122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48">
    <w:name w:val="xl3348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i/>
      <w:iCs/>
      <w:lang w:eastAsia="ru-RU"/>
    </w:rPr>
  </w:style>
  <w:style w:type="paragraph" w:customStyle="1" w:styleId="xl3349">
    <w:name w:val="xl3349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0">
    <w:name w:val="xl3350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xl3351">
    <w:name w:val="xl3351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2">
    <w:name w:val="xl3352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i/>
      <w:iCs/>
      <w:lang w:eastAsia="ru-RU"/>
    </w:rPr>
  </w:style>
  <w:style w:type="paragraph" w:customStyle="1" w:styleId="xl3353">
    <w:name w:val="xl3353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4">
    <w:name w:val="xl3354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5">
    <w:name w:val="xl3355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6">
    <w:name w:val="xl3356"/>
    <w:basedOn w:val="a"/>
    <w:qFormat/>
    <w:rsid w:val="00412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7">
    <w:name w:val="xl3357"/>
    <w:basedOn w:val="a"/>
    <w:qFormat/>
    <w:rsid w:val="004122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8">
    <w:name w:val="xl3358"/>
    <w:basedOn w:val="a"/>
    <w:qFormat/>
    <w:rsid w:val="004122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3359">
    <w:name w:val="xl3359"/>
    <w:basedOn w:val="a"/>
    <w:qFormat/>
    <w:rsid w:val="004122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60">
    <w:name w:val="xl3360"/>
    <w:basedOn w:val="a"/>
    <w:qFormat/>
    <w:rsid w:val="004122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3361">
    <w:name w:val="xl3361"/>
    <w:basedOn w:val="a"/>
    <w:qFormat/>
    <w:rsid w:val="004122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">
    <w:name w:val="annotation text"/>
    <w:basedOn w:val="a"/>
    <w:link w:val="ae"/>
    <w:uiPriority w:val="99"/>
    <w:semiHidden/>
    <w:unhideWhenUsed/>
    <w:qFormat/>
    <w:rsid w:val="00D55830"/>
    <w:pPr>
      <w:spacing w:line="240" w:lineRule="auto"/>
    </w:pPr>
    <w:rPr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qFormat/>
    <w:rsid w:val="00D55830"/>
    <w:rPr>
      <w:b/>
      <w:bCs/>
    </w:rPr>
  </w:style>
  <w:style w:type="paragraph" w:customStyle="1" w:styleId="3">
    <w:name w:val="Основной текст3"/>
    <w:basedOn w:val="a"/>
    <w:link w:val="af2"/>
    <w:qFormat/>
    <w:rsid w:val="00656D8C"/>
    <w:pPr>
      <w:widowControl w:val="0"/>
      <w:shd w:val="clear" w:color="auto" w:fill="FFFFFF"/>
      <w:spacing w:before="480" w:after="0" w:line="370" w:lineRule="exact"/>
      <w:jc w:val="both"/>
    </w:pPr>
    <w:rPr>
      <w:rFonts w:eastAsiaTheme="minorHAnsi" w:cstheme="minorBidi"/>
      <w:sz w:val="26"/>
      <w:szCs w:val="26"/>
    </w:rPr>
  </w:style>
  <w:style w:type="paragraph" w:customStyle="1" w:styleId="afb">
    <w:name w:val="Содержимое врезки"/>
    <w:basedOn w:val="a"/>
    <w:qFormat/>
  </w:style>
  <w:style w:type="paragraph" w:customStyle="1" w:styleId="10">
    <w:name w:val="Обычная таблица1"/>
    <w:qFormat/>
    <w:pPr>
      <w:spacing w:after="200" w:line="276" w:lineRule="auto"/>
    </w:pPr>
    <w:rPr>
      <w:rFonts w:ascii="Times New Roman" w:hAnsi="Times New Roman" w:cs="Times New Roman"/>
      <w:sz w:val="20"/>
      <w:szCs w:val="20"/>
      <w:lang w:eastAsia="ru-RU"/>
    </w:rPr>
  </w:style>
  <w:style w:type="table" w:styleId="afc">
    <w:name w:val="Table Grid"/>
    <w:basedOn w:val="a1"/>
    <w:uiPriority w:val="59"/>
    <w:rsid w:val="00672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c:style val="2"/>
  <c:chart>
    <c:autoTitleDeleted val="1"/>
    <c:view3D>
      <c:rotX val="15"/>
      <c:rotY val="20"/>
      <c:rAngAx val="1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  <c:spPr>
        <a:noFill/>
        <a:ln w="9360">
          <a:solidFill>
            <a:srgbClr val="878787"/>
          </a:solidFill>
          <a:round/>
        </a:ln>
      </c:spPr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0"/>
          <c:y val="0.101111111111111"/>
          <c:w val="0.99831250000000005"/>
          <c:h val="0.711666666666667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432DE7"/>
            </a:solidFill>
            <a:ln w="0">
              <a:solidFill>
                <a:srgbClr val="1F497D"/>
              </a:solidFill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57C4-4A21-987A-B70CF5A0C43B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57C4-4A21-987A-B70CF5A0C43B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57C4-4A21-987A-B70CF5A0C43B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57C4-4A21-987A-B70CF5A0C43B}"/>
              </c:ext>
            </c:extLst>
          </c:dPt>
          <c:dPt>
            <c:idx val="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9-57C4-4A21-987A-B70CF5A0C43B}"/>
              </c:ext>
            </c:extLst>
          </c:dPt>
          <c:dLbls>
            <c:dLbl>
              <c:idx val="0"/>
              <c:layout>
                <c:manualLayout>
                  <c:x val="4.21141292903767E-3"/>
                  <c:y val="-3.6574215178299299E-2"/>
                </c:manualLayout>
              </c:layout>
              <c:numFmt formatCode="General" sourceLinked="0"/>
              <c:spPr/>
              <c:txPr>
                <a:bodyPr wrap="square"/>
                <a:lstStyle/>
                <a:p>
                  <a:pPr>
                    <a:defRPr sz="12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7C4-4A21-987A-B70CF5A0C43B}"/>
                </c:ext>
              </c:extLst>
            </c:dLbl>
            <c:dLbl>
              <c:idx val="1"/>
              <c:layout>
                <c:manualLayout>
                  <c:x val="1.6557143320047901E-2"/>
                  <c:y val="-3.7021059571345098E-2"/>
                </c:manualLayout>
              </c:layout>
              <c:numFmt formatCode="General" sourceLinked="0"/>
              <c:spPr/>
              <c:txPr>
                <a:bodyPr wrap="square"/>
                <a:lstStyle/>
                <a:p>
                  <a:pPr>
                    <a:defRPr sz="12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7C4-4A21-987A-B70CF5A0C43B}"/>
                </c:ext>
              </c:extLst>
            </c:dLbl>
            <c:dLbl>
              <c:idx val="2"/>
              <c:layout>
                <c:manualLayout>
                  <c:x val="1.2345679012345699E-2"/>
                  <c:y val="-2.4382828923635701E-2"/>
                </c:manualLayout>
              </c:layout>
              <c:numFmt formatCode="General" sourceLinked="0"/>
              <c:spPr/>
              <c:txPr>
                <a:bodyPr wrap="square"/>
                <a:lstStyle/>
                <a:p>
                  <a:pPr>
                    <a:defRPr sz="12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7C4-4A21-987A-B70CF5A0C43B}"/>
                </c:ext>
              </c:extLst>
            </c:dLbl>
            <c:dLbl>
              <c:idx val="3"/>
              <c:layout>
                <c:manualLayout>
                  <c:x val="0"/>
                  <c:y val="-2.4382810118866199E-2"/>
                </c:manualLayout>
              </c:layout>
              <c:numFmt formatCode="General" sourceLinked="0"/>
              <c:spPr/>
              <c:txPr>
                <a:bodyPr wrap="square"/>
                <a:lstStyle/>
                <a:p>
                  <a:pPr>
                    <a:defRPr sz="12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7C4-4A21-987A-B70CF5A0C43B}"/>
                </c:ext>
              </c:extLst>
            </c:dLbl>
            <c:dLbl>
              <c:idx val="4"/>
              <c:layout>
                <c:manualLayout>
                  <c:x val="-1.5441669022993299E-16"/>
                  <c:y val="-3.6574215178299299E-2"/>
                </c:manualLayout>
              </c:layout>
              <c:numFmt formatCode="General" sourceLinked="0"/>
              <c:spPr/>
              <c:txPr>
                <a:bodyPr wrap="square"/>
                <a:lstStyle/>
                <a:p>
                  <a:pPr>
                    <a:defRPr sz="12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57C4-4A21-987A-B70CF5A0C43B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2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0</c:f>
              <c:numCache>
                <c:formatCode>General</c:formatCode>
                <c:ptCount val="5"/>
                <c:pt idx="0">
                  <c:v>551.5</c:v>
                </c:pt>
                <c:pt idx="1">
                  <c:v>589.6</c:v>
                </c:pt>
                <c:pt idx="2">
                  <c:v>472.16</c:v>
                </c:pt>
                <c:pt idx="3">
                  <c:v>366.54500000000002</c:v>
                </c:pt>
                <c:pt idx="4">
                  <c:v>188.2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label 0</c15:sqref>
                        </c15:formulaRef>
                      </c:ext>
                    </c:extLst>
                    <c:strCache>
                      <c:ptCount val="1"/>
                      <c:pt idx="0">
                        <c:v>Ряд 1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categories</c15:sqref>
                        </c15:formulaRef>
                      </c:ext>
                    </c:extLst>
                    <c:strCache>
                      <c:ptCount val="5"/>
                      <c:pt idx="0">
                        <c:v>2020г.</c:v>
                      </c:pt>
                      <c:pt idx="1">
                        <c:v>2021г</c:v>
                      </c:pt>
                      <c:pt idx="2">
                        <c:v>2022г.</c:v>
                      </c:pt>
                      <c:pt idx="3">
                        <c:v>2023г.</c:v>
                      </c:pt>
                      <c:pt idx="4">
                        <c:v>1-е полугодие 2024г.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A-57C4-4A21-987A-B70CF5A0C4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9845017"/>
        <c:axId val="80356402"/>
        <c:axId val="0"/>
      </c:bar3DChart>
      <c:catAx>
        <c:axId val="59845017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200" b="0" strike="noStrike" spc="-1">
                <a:solidFill>
                  <a:srgbClr val="000000"/>
                </a:solidFill>
                <a:latin typeface="Times New Roman"/>
              </a:defRPr>
            </a:pPr>
            <a:endParaRPr lang="ru-RU"/>
          </a:p>
        </c:txPr>
        <c:crossAx val="80356402"/>
        <c:crosses val="autoZero"/>
        <c:auto val="1"/>
        <c:lblAlgn val="ctr"/>
        <c:lblOffset val="100"/>
        <c:noMultiLvlLbl val="0"/>
      </c:catAx>
      <c:valAx>
        <c:axId val="8035640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59845017"/>
        <c:crosses val="autoZero"/>
        <c:crossBetween val="between"/>
      </c:valAx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3AE2-2088-4204-9368-0321760A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7</Pages>
  <Words>3358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Сибатрова Ирина Викторовна</dc:creator>
  <dc:description/>
  <cp:lastModifiedBy>Тимошина Надежда Михайловна</cp:lastModifiedBy>
  <cp:revision>66</cp:revision>
  <cp:lastPrinted>2024-07-18T05:40:00Z</cp:lastPrinted>
  <dcterms:created xsi:type="dcterms:W3CDTF">2022-07-19T09:44:00Z</dcterms:created>
  <dcterms:modified xsi:type="dcterms:W3CDTF">2024-07-22T07:18:00Z</dcterms:modified>
  <dc:language>ru-RU</dc:language>
</cp:coreProperties>
</file>