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C2" w:rsidRPr="00056EC2" w:rsidRDefault="00056EC2">
      <w:pPr>
        <w:rPr>
          <w:lang w:val="en-US"/>
        </w:rPr>
      </w:pPr>
    </w:p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41397E">
        <w:trPr>
          <w:trHeight w:val="1586"/>
        </w:trPr>
        <w:tc>
          <w:tcPr>
            <w:tcW w:w="3574" w:type="dxa"/>
          </w:tcPr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D85394" wp14:editId="020B143C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val="en-US" w:eastAsia="ru-RU"/>
              </w:rPr>
            </w:pPr>
          </w:p>
          <w:p w:rsidR="00056EC2" w:rsidRPr="00056EC2" w:rsidRDefault="00056EC2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val="en-US"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41397E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41397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056EC2" w:rsidRDefault="00056EC2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  <w:lang w:val="en-US"/>
        </w:rPr>
      </w:pPr>
    </w:p>
    <w:p w:rsidR="00BF072C" w:rsidRPr="00DE16E9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г. Петропавловск </w:t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="00662A2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="00662A2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   </w:t>
      </w:r>
      <w:r w:rsidR="00DE16E9"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19 апреля</w:t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201</w:t>
      </w:r>
      <w:r w:rsidR="00C5336E"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9</w:t>
      </w: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г.</w:t>
      </w:r>
    </w:p>
    <w:p w:rsidR="00263115" w:rsidRDefault="00F74C97" w:rsidP="0026311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BF072C" w:rsidRPr="00DE16E9" w:rsidRDefault="00361BCE" w:rsidP="00263115">
      <w:pPr>
        <w:spacing w:after="0" w:line="240" w:lineRule="auto"/>
        <w:ind w:left="708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F072C" w:rsidRPr="00DE16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Информация </w:t>
      </w:r>
      <w:r w:rsidR="00BF072C"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к слушаниям по </w:t>
      </w:r>
      <w:r w:rsidR="00662A20" w:rsidRPr="00DE16E9">
        <w:rPr>
          <w:rFonts w:ascii="Times New Roman" w:hAnsi="Times New Roman"/>
          <w:b/>
          <w:sz w:val="24"/>
          <w:szCs w:val="24"/>
          <w:lang w:eastAsia="ru-RU"/>
        </w:rPr>
        <w:t>итогам</w:t>
      </w:r>
      <w:r w:rsidR="00662A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b/>
          <w:sz w:val="24"/>
          <w:szCs w:val="24"/>
          <w:lang w:eastAsia="ru-RU"/>
        </w:rPr>
        <w:t>исполнения инвестиционной программы</w:t>
      </w:r>
      <w:r w:rsidR="00BF072C"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F072C" w:rsidRPr="00DE16E9" w:rsidRDefault="00BF072C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>ТОО «Севказэнергосбыт» за 201</w:t>
      </w:r>
      <w:r w:rsidR="00C5336E" w:rsidRPr="00DE16E9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E16E9" w:rsidRPr="00DE16E9" w:rsidRDefault="00DE16E9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С 01.01.2009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ТОО «Севказэнергосбыт» осуществляет деятельность по снабжению тепловой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и электрической энергией потребителей г.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Петропавловска и Северо-Казахстанской области.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27.01.2009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E16E9">
        <w:rPr>
          <w:rFonts w:ascii="Times New Roman" w:hAnsi="Times New Roman"/>
          <w:sz w:val="24"/>
          <w:szCs w:val="24"/>
          <w:lang w:eastAsia="ru-RU"/>
        </w:rPr>
        <w:t>ТОО «Севказэнергосбыт» включено в местный раздел Государственного регистра субъектов естественных монополий по СКО по виду регулируемой услуги «снабжение тепловой энергией»</w:t>
      </w:r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13.02.2009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предприятие было включено в государственный реестр субъектов рынка, занимающих доминирующее (монопольное) положение на соответствующем товарном рынке по электроснабжению.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На 01.01.2019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услугами предприятия пользуются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163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795 абонентов</w:t>
      </w:r>
      <w:r w:rsidR="007B1218" w:rsidRPr="00DE16E9" w:rsidDel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электрической энергии, в том числе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73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629 абонент</w:t>
      </w:r>
      <w:r w:rsidR="007B1218">
        <w:rPr>
          <w:rFonts w:ascii="Times New Roman" w:hAnsi="Times New Roman"/>
          <w:sz w:val="24"/>
          <w:szCs w:val="24"/>
          <w:lang w:eastAsia="ru-RU"/>
        </w:rPr>
        <w:t>ов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тепловой энергии.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Стратегическими целями </w:t>
      </w:r>
      <w:proofErr w:type="spellStart"/>
      <w:r w:rsidR="007B1218">
        <w:rPr>
          <w:rFonts w:ascii="Times New Roman" w:hAnsi="Times New Roman"/>
          <w:sz w:val="24"/>
          <w:szCs w:val="24"/>
          <w:lang w:eastAsia="ru-RU"/>
        </w:rPr>
        <w:t>э</w:t>
      </w:r>
      <w:r w:rsidRPr="00DE16E9">
        <w:rPr>
          <w:rFonts w:ascii="Times New Roman" w:hAnsi="Times New Roman"/>
          <w:sz w:val="24"/>
          <w:szCs w:val="24"/>
          <w:lang w:eastAsia="ru-RU"/>
        </w:rPr>
        <w:t>нергосбытовой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компании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явля</w:t>
      </w:r>
      <w:r w:rsidR="007B1218">
        <w:rPr>
          <w:rFonts w:ascii="Times New Roman" w:hAnsi="Times New Roman"/>
          <w:sz w:val="24"/>
          <w:szCs w:val="24"/>
          <w:lang w:eastAsia="ru-RU"/>
        </w:rPr>
        <w:t>ю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полное обеспечение платежеспособного спроса потребителей в электрической и тепловой энергии, предоставление исчерпывающей информации потребителям по вопросам энергоснабжения.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Потребители тепловой и электрической энергии должны быть обеспечены комфортными условиями при осуществлении оплаты за коммунальные услуги, а процесс оплаты за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потребл</w:t>
      </w:r>
      <w:r w:rsidR="007B1218">
        <w:rPr>
          <w:rFonts w:ascii="Times New Roman" w:hAnsi="Times New Roman"/>
          <w:sz w:val="24"/>
          <w:szCs w:val="24"/>
          <w:lang w:eastAsia="ru-RU"/>
        </w:rPr>
        <w:t>ё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нные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коммунальные услуги должен быть максимально простым и занимающим минимальное количество времени.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Так для приёма коммунальных платежей по тепловой и электрической энергии в настоящее время предприятие имеет на балансе административно-хозяйственное здание по ул. Жумабаева</w:t>
      </w:r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66 (абонентский участок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№</w:t>
      </w:r>
      <w:r w:rsidR="007B1218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1), два пункта приёма платежей по ул. Строительная</w:t>
      </w:r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6 (абонентский участок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№</w:t>
      </w:r>
      <w:r w:rsidR="007B1218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2) и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Сатпаева</w:t>
      </w:r>
      <w:proofErr w:type="spellEnd"/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17 (абонентский участок №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3), в целях повышения качества услуг населению дополнительно открыты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пункты приема по ул.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Жабаева</w:t>
      </w:r>
      <w:proofErr w:type="spellEnd"/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215а (ЦОП),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Ш.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Уалиханова</w:t>
      </w:r>
      <w:proofErr w:type="spellEnd"/>
      <w:proofErr w:type="gramEnd"/>
      <w:r w:rsidR="007B1218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56 в </w:t>
      </w:r>
      <w:r w:rsidR="007B1218">
        <w:rPr>
          <w:rFonts w:ascii="Times New Roman" w:hAnsi="Times New Roman"/>
          <w:sz w:val="24"/>
          <w:szCs w:val="24"/>
          <w:lang w:eastAsia="ru-RU"/>
        </w:rPr>
        <w:t>т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оргово</w:t>
      </w:r>
      <w:r w:rsidRPr="00DE16E9">
        <w:rPr>
          <w:rFonts w:ascii="Times New Roman" w:hAnsi="Times New Roman"/>
          <w:sz w:val="24"/>
          <w:szCs w:val="24"/>
          <w:lang w:eastAsia="ru-RU"/>
        </w:rPr>
        <w:t>-развлекательном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центре «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City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1218" w:rsidRPr="00DE16E9">
        <w:rPr>
          <w:rFonts w:ascii="Times New Roman" w:hAnsi="Times New Roman"/>
          <w:sz w:val="24"/>
          <w:szCs w:val="24"/>
          <w:lang w:eastAsia="ru-RU"/>
        </w:rPr>
        <w:t>Ma</w:t>
      </w:r>
      <w:proofErr w:type="spellEnd"/>
      <w:r w:rsidR="007B1218">
        <w:rPr>
          <w:rFonts w:ascii="Times New Roman" w:hAnsi="Times New Roman"/>
          <w:sz w:val="24"/>
          <w:szCs w:val="24"/>
          <w:lang w:val="en-US" w:eastAsia="ru-RU"/>
        </w:rPr>
        <w:t>l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l</w:t>
      </w:r>
      <w:r w:rsidRPr="00DE16E9">
        <w:rPr>
          <w:rFonts w:ascii="Times New Roman" w:hAnsi="Times New Roman"/>
          <w:sz w:val="24"/>
          <w:szCs w:val="24"/>
          <w:lang w:eastAsia="ru-RU"/>
        </w:rPr>
        <w:t>»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В настоящее время в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ТОО «Севказэнергосбыт» реализуется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долгосрочная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1218">
        <w:rPr>
          <w:rFonts w:ascii="Times New Roman" w:hAnsi="Times New Roman"/>
          <w:sz w:val="24"/>
          <w:szCs w:val="24"/>
          <w:lang w:eastAsia="ru-RU"/>
        </w:rPr>
        <w:t>и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нвестиционная программа, которая утверждена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приказом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РГУ «Департамент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Комитета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по регулированию естественных монополий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и защите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конкуренции Министерства национальной экономики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РК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 СКО» от 09.11.2015г №128-ОД г. Срок реализации инвестиционной программы </w:t>
      </w:r>
      <w:r w:rsidR="007B1218">
        <w:rPr>
          <w:rFonts w:ascii="Times New Roman" w:hAnsi="Times New Roman"/>
          <w:sz w:val="24"/>
          <w:szCs w:val="24"/>
          <w:lang w:eastAsia="ru-RU"/>
        </w:rPr>
        <w:t>–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с 1 января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2016 г</w:t>
      </w:r>
      <w:r w:rsidR="007B1218">
        <w:rPr>
          <w:rFonts w:ascii="Times New Roman" w:hAnsi="Times New Roman"/>
          <w:sz w:val="24"/>
          <w:szCs w:val="24"/>
          <w:lang w:eastAsia="ru-RU"/>
        </w:rPr>
        <w:t>.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по 31 декабря 2020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Целями настоящего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бизнес-проекта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на 2018 год являются снижение уровня дебиторской задолженности потребителей тепловой и электрической энергии, увеличение или сохранение существующего уровня ликвидной стоимости задействованных основных средств, увеличение объёма и качества предоставляемых регулируемых услуг, обеспечение персонала предприятия современной компьютерной техникой, 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т. к.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предприятию необходимо улучшение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и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обновление информационных технологий.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Сумма инвестиций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утвержд</w:t>
      </w:r>
      <w:r w:rsidR="007B1218">
        <w:rPr>
          <w:rFonts w:ascii="Times New Roman" w:hAnsi="Times New Roman"/>
          <w:sz w:val="24"/>
          <w:szCs w:val="24"/>
          <w:lang w:eastAsia="ru-RU"/>
        </w:rPr>
        <w:t>ё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нной </w:t>
      </w:r>
      <w:r w:rsidRPr="00DE16E9">
        <w:rPr>
          <w:rFonts w:ascii="Times New Roman" w:hAnsi="Times New Roman"/>
          <w:sz w:val="24"/>
          <w:szCs w:val="24"/>
          <w:lang w:eastAsia="ru-RU"/>
        </w:rPr>
        <w:t>инвестиционной программы на период с 1 января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2018 года по 31 декабря 2018 года предусмотрена в размере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20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546 тыс. тенге. Финансирование планировалось осуществить за счет собственных средств предприятия, а именно амортизационных отчислений </w:t>
      </w:r>
      <w:r w:rsidR="007B1218">
        <w:rPr>
          <w:rFonts w:ascii="Times New Roman" w:hAnsi="Times New Roman"/>
          <w:sz w:val="24"/>
          <w:szCs w:val="24"/>
          <w:lang w:eastAsia="ru-RU"/>
        </w:rPr>
        <w:t>в размере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 18</w:t>
      </w:r>
      <w:r w:rsidR="007B1218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546 тыс.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и прибыли </w:t>
      </w:r>
      <w:r w:rsidR="007B1218">
        <w:rPr>
          <w:rFonts w:ascii="Times New Roman" w:hAnsi="Times New Roman"/>
          <w:sz w:val="24"/>
          <w:szCs w:val="24"/>
          <w:lang w:eastAsia="ru-RU"/>
        </w:rPr>
        <w:t>в размере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2A20" w:rsidRPr="00DE16E9">
        <w:rPr>
          <w:rFonts w:ascii="Times New Roman" w:hAnsi="Times New Roman"/>
          <w:sz w:val="24"/>
          <w:szCs w:val="24"/>
          <w:lang w:eastAsia="ru-RU"/>
        </w:rPr>
        <w:t>2</w:t>
      </w:r>
      <w:r w:rsidR="00662A20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тыс.</w:t>
      </w:r>
      <w:r w:rsidR="007B12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proofErr w:type="gramStart"/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По видам энергии инвестиции 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>утвержд</w:t>
      </w:r>
      <w:r w:rsidR="007B1218">
        <w:rPr>
          <w:rFonts w:ascii="Times New Roman" w:hAnsi="Times New Roman"/>
          <w:sz w:val="24"/>
          <w:szCs w:val="24"/>
          <w:lang w:eastAsia="ru-RU"/>
        </w:rPr>
        <w:t>ё</w:t>
      </w:r>
      <w:r w:rsidR="007B1218" w:rsidRPr="00DE16E9">
        <w:rPr>
          <w:rFonts w:ascii="Times New Roman" w:hAnsi="Times New Roman"/>
          <w:sz w:val="24"/>
          <w:szCs w:val="24"/>
          <w:lang w:eastAsia="ru-RU"/>
        </w:rPr>
        <w:t xml:space="preserve">нной </w:t>
      </w:r>
      <w:r w:rsidRPr="00DE16E9">
        <w:rPr>
          <w:rFonts w:ascii="Times New Roman" w:hAnsi="Times New Roman"/>
          <w:sz w:val="24"/>
          <w:szCs w:val="24"/>
          <w:lang w:eastAsia="ru-RU"/>
        </w:rPr>
        <w:t>инвестиционной программы распределены следующим образом:</w:t>
      </w:r>
    </w:p>
    <w:p w:rsidR="00DE16E9" w:rsidRPr="00DE16E9" w:rsidRDefault="007B1218" w:rsidP="00DE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электрическая энергия – 17 053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E16E9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393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за счёт амортизации и </w:t>
      </w:r>
      <w:r w:rsidRPr="00DE16E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660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за счёт прибыли);</w:t>
      </w:r>
    </w:p>
    <w:p w:rsidR="00DE16E9" w:rsidRPr="00DE16E9" w:rsidRDefault="007B1218" w:rsidP="00DE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тепловая энергия – </w:t>
      </w:r>
      <w:r w:rsidRPr="00DE16E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493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(</w:t>
      </w:r>
      <w:r w:rsidRPr="00DE16E9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153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за счёт амортизации и 340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т</w:t>
      </w:r>
      <w:r w:rsidR="00E54E3E">
        <w:rPr>
          <w:rFonts w:ascii="Times New Roman" w:hAnsi="Times New Roman"/>
          <w:sz w:val="24"/>
          <w:szCs w:val="24"/>
          <w:lang w:eastAsia="ru-RU"/>
        </w:rPr>
        <w:t>ен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г</w:t>
      </w:r>
      <w:r w:rsidR="00E54E3E">
        <w:rPr>
          <w:rFonts w:ascii="Times New Roman" w:hAnsi="Times New Roman"/>
          <w:sz w:val="24"/>
          <w:szCs w:val="24"/>
          <w:lang w:eastAsia="ru-RU"/>
        </w:rPr>
        <w:t>е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>за счёт прибыли).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Таким образом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в 2018 году приобретены 10 лазерных принтеров на сумму 0,9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млн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тенге, 9 МФУ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на сумму 1,4 млн тенге,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лицензии и программное обеспечение на сумму 3,5 млн тенге, </w:t>
      </w:r>
      <w:r w:rsidRPr="00DE16E9">
        <w:rPr>
          <w:rFonts w:ascii="Times New Roman" w:hAnsi="Times New Roman"/>
          <w:sz w:val="24"/>
          <w:szCs w:val="24"/>
          <w:lang w:eastAsia="ru-RU"/>
        </w:rPr>
        <w:lastRenderedPageBreak/>
        <w:t>дисковая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система хранения данных на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>сумму 14,6 млн тенге и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прочие основные средства на сумму 0,8 млн тенге. В целом исполнение составило 21,2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млн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="00E54E3E">
        <w:rPr>
          <w:rFonts w:ascii="Times New Roman" w:hAnsi="Times New Roman"/>
          <w:sz w:val="24"/>
          <w:szCs w:val="24"/>
          <w:lang w:eastAsia="ru-RU"/>
        </w:rPr>
        <w:t>,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или 102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%.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>Обоснование приобретения: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Хранение корпоративной информации предприятия, включающей персональные данные о потребителях, потреблении энергии и поступивших платежах должно отвечать требованиям информационной безопасности. При этом информация должна быть доступна с рабочих мест и достоверна. В связи с постоянным увеличением объема информации и недостаточностью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объ</w:t>
      </w:r>
      <w:r w:rsidR="00E54E3E">
        <w:rPr>
          <w:rFonts w:ascii="Times New Roman" w:hAnsi="Times New Roman"/>
          <w:sz w:val="24"/>
          <w:szCs w:val="24"/>
          <w:lang w:eastAsia="ru-RU"/>
        </w:rPr>
        <w:t>ё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Pr="00DE16E9">
        <w:rPr>
          <w:rFonts w:ascii="Times New Roman" w:hAnsi="Times New Roman"/>
          <w:sz w:val="24"/>
          <w:szCs w:val="24"/>
          <w:lang w:eastAsia="ru-RU"/>
        </w:rPr>
        <w:t>памяти имеющихся серверов возникла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необходимость в </w:t>
      </w:r>
      <w:r w:rsidRPr="00DE16E9">
        <w:rPr>
          <w:rFonts w:ascii="Times New Roman" w:hAnsi="Times New Roman"/>
          <w:b/>
          <w:sz w:val="24"/>
          <w:szCs w:val="24"/>
          <w:lang w:eastAsia="ru-RU"/>
        </w:rPr>
        <w:t>приобретении дисковой системы хранения данных</w:t>
      </w:r>
      <w:r w:rsidRPr="00DE16E9">
        <w:rPr>
          <w:rFonts w:ascii="Times New Roman" w:hAnsi="Times New Roman"/>
          <w:sz w:val="24"/>
          <w:szCs w:val="24"/>
          <w:lang w:eastAsia="ru-RU"/>
        </w:rPr>
        <w:t>, которая обеспечит стабильную работу предприятия и повышение качества обслуживания клиентов.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Каждый работник ТОО «Севказэнергосбыт» в своей работе обслуживает сотни потребителей и взаимодействует с десятками других работников предприятий, сторонних организаций, государственных учреждений, используя в своей работе прикладные программы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Windows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>. Новое программное обеспечение предъявляет с каждым годом более высокие требования не только к скорости вычислений и передачи данных, но и к платформе, т.е. операционной системе. Поэтому целесообразно эксплуатировать на рабочих станциях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лицензионное, наиболее современное прикладное и системное программное обеспечение. </w:t>
      </w:r>
      <w:r w:rsidRPr="00DE16E9">
        <w:rPr>
          <w:rFonts w:ascii="Times New Roman" w:hAnsi="Times New Roman"/>
          <w:b/>
          <w:sz w:val="24"/>
          <w:szCs w:val="24"/>
          <w:lang w:eastAsia="ru-RU"/>
        </w:rPr>
        <w:t>Приобретение лицензионных программных продуктов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 позволит увеличить скорость и улучшить качество обмена информации между работниками, что в свою очередь повысит производительность труда, качество и оперативность реагирования на запросы потребителей.</w:t>
      </w:r>
    </w:p>
    <w:p w:rsidR="00DE16E9" w:rsidRPr="00DE16E9" w:rsidRDefault="00DE16E9" w:rsidP="00DE16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>Приобретение принтеров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Все </w:t>
      </w:r>
      <w:proofErr w:type="spellStart"/>
      <w:r w:rsidRPr="00DE16E9">
        <w:rPr>
          <w:rFonts w:ascii="Times New Roman" w:hAnsi="Times New Roman"/>
          <w:sz w:val="24"/>
          <w:szCs w:val="24"/>
          <w:lang w:eastAsia="ru-RU"/>
        </w:rPr>
        <w:t>эксплуатирующиеся</w:t>
      </w:r>
      <w:proofErr w:type="spell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принтеры предприятия можно подразделить на следующие группы: </w:t>
      </w:r>
    </w:p>
    <w:p w:rsidR="00DE16E9" w:rsidRPr="00DE16E9" w:rsidRDefault="00263115" w:rsidP="00DE1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высокопроизводительные, средней производительности,</w:t>
      </w:r>
      <w:r w:rsidR="00DE16E9" w:rsidRPr="00DE16E9">
        <w:rPr>
          <w:rFonts w:ascii="Times New Roman" w:hAnsi="Times New Roman"/>
          <w:sz w:val="24"/>
          <w:szCs w:val="24"/>
          <w:lang w:eastAsia="ru-RU"/>
        </w:rPr>
        <w:t xml:space="preserve"> малой </w:t>
      </w:r>
      <w:r>
        <w:rPr>
          <w:rFonts w:ascii="Times New Roman" w:hAnsi="Times New Roman"/>
          <w:sz w:val="24"/>
          <w:szCs w:val="24"/>
          <w:lang w:eastAsia="ru-RU"/>
        </w:rPr>
        <w:t>производительности.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Из числа эксплуатируемых принтеров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14 имеют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степень износа </w:t>
      </w:r>
      <w:r w:rsidRPr="00DE16E9">
        <w:rPr>
          <w:rFonts w:ascii="Times New Roman" w:hAnsi="Times New Roman"/>
          <w:sz w:val="24"/>
          <w:szCs w:val="24"/>
          <w:lang w:eastAsia="ru-RU"/>
        </w:rPr>
        <w:t>75-99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%,</w:t>
      </w:r>
      <w:r w:rsid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18 имеют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степень износа </w:t>
      </w:r>
      <w:r w:rsidRPr="00DE16E9">
        <w:rPr>
          <w:rFonts w:ascii="Times New Roman" w:hAnsi="Times New Roman"/>
          <w:sz w:val="24"/>
          <w:szCs w:val="24"/>
          <w:lang w:eastAsia="ru-RU"/>
        </w:rPr>
        <w:t>50-75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%.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Учитывая физический износ принтеров, а также планируемое увеличение объёма печати, возникает потребность приобретения новых принтеров. </w:t>
      </w:r>
    </w:p>
    <w:p w:rsidR="00DE16E9" w:rsidRPr="00DE16E9" w:rsidRDefault="00DE16E9" w:rsidP="00DE16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16E9">
        <w:rPr>
          <w:rFonts w:ascii="Times New Roman" w:hAnsi="Times New Roman"/>
          <w:b/>
          <w:sz w:val="24"/>
          <w:szCs w:val="24"/>
          <w:lang w:eastAsia="ru-RU"/>
        </w:rPr>
        <w:t xml:space="preserve">Приобретение МФУ 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Приобретение новых МФУ частично взамен принтеров малой производительности ускорит в целом процесс работы и сократит расходы по ремонту и обслуживанию компьютерной техники. При больших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объ</w:t>
      </w:r>
      <w:r w:rsidR="00E54E3E">
        <w:rPr>
          <w:rFonts w:ascii="Times New Roman" w:hAnsi="Times New Roman"/>
          <w:sz w:val="24"/>
          <w:szCs w:val="24"/>
          <w:lang w:eastAsia="ru-RU"/>
        </w:rPr>
        <w:t>ё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мах 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требуются только </w:t>
      </w:r>
      <w:proofErr w:type="gramStart"/>
      <w:r w:rsidRPr="00DE16E9">
        <w:rPr>
          <w:rFonts w:ascii="Times New Roman" w:hAnsi="Times New Roman"/>
          <w:sz w:val="24"/>
          <w:szCs w:val="24"/>
          <w:lang w:eastAsia="ru-RU"/>
        </w:rPr>
        <w:t>высокопроизводительные</w:t>
      </w:r>
      <w:proofErr w:type="gramEnd"/>
      <w:r w:rsidRPr="00DE16E9">
        <w:rPr>
          <w:rFonts w:ascii="Times New Roman" w:hAnsi="Times New Roman"/>
          <w:sz w:val="24"/>
          <w:szCs w:val="24"/>
          <w:lang w:eastAsia="ru-RU"/>
        </w:rPr>
        <w:t xml:space="preserve"> МФУ. Современные реалии диктуют необходимость «оцифровки» оригиналов договоров с приложениями. Одним из пунктов Правил утверждения тарифов является приложение документов, подтверждающих объём предоставляемых услуг, а именно копии договоров на энергоснабжение. Договорному отделу необходимо ежегодно снимать к заявке на снабжение электрической энергией ориентировочно 18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копий и</w:t>
      </w:r>
      <w:r w:rsidR="00662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8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копий договоров к заявке по тепловой энергии</w:t>
      </w:r>
      <w:r w:rsidR="00E54E3E">
        <w:rPr>
          <w:rFonts w:ascii="Times New Roman" w:hAnsi="Times New Roman"/>
          <w:sz w:val="24"/>
          <w:szCs w:val="24"/>
          <w:lang w:eastAsia="ru-RU"/>
        </w:rPr>
        <w:t>, в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сего в год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26</w:t>
      </w:r>
      <w:r w:rsidR="00E54E3E">
        <w:rPr>
          <w:rFonts w:ascii="Times New Roman" w:hAnsi="Times New Roman"/>
          <w:sz w:val="24"/>
          <w:szCs w:val="24"/>
          <w:lang w:eastAsia="ru-RU"/>
        </w:rPr>
        <w:t> </w:t>
      </w:r>
      <w:r w:rsidRPr="00DE16E9">
        <w:rPr>
          <w:rFonts w:ascii="Times New Roman" w:hAnsi="Times New Roman"/>
          <w:sz w:val="24"/>
          <w:szCs w:val="24"/>
          <w:lang w:eastAsia="ru-RU"/>
        </w:rPr>
        <w:t>000 копий договоров. При этом основное количество договоров являются двухсторонними. Поэтому в год ориентировочно снимают 52 тыс. копий.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Планово-экономический отдел ежегодно при формировании заявки на снабжение электрической энергией снимает копии подтверждающих документов в количестве 11,5 тыс. листов.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Оформление документов на двух языках увеличило общий объём печати и ужесточило требования к скорости печати. В этой связи планируется ежегодное приобретение МФУ для прочих отделов предприятия с заменой старых ксероксов и копиров.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ТОО «Севказэнергосбыт» оказывает услуги ЕИРЦ, который создан в целях совершенствования системы обслуживания потребителей. Одной из задач центра является максимальный сбор платежей за коммунальные услуги, снижение уровня дебиторской задолженности потребителей. В связи с расширением функций ЕИРЦ увеличилось количество обслуживаемых абонентов. Для создания условий труда работникам для осуществления своих функциональных обязанностей требуется обеспечение пунктов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при</w:t>
      </w:r>
      <w:r w:rsidR="00E54E3E">
        <w:rPr>
          <w:rFonts w:ascii="Times New Roman" w:hAnsi="Times New Roman"/>
          <w:sz w:val="24"/>
          <w:szCs w:val="24"/>
          <w:lang w:eastAsia="ru-RU"/>
        </w:rPr>
        <w:t>ё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Pr="00DE16E9">
        <w:rPr>
          <w:rFonts w:ascii="Times New Roman" w:hAnsi="Times New Roman"/>
          <w:sz w:val="24"/>
          <w:szCs w:val="24"/>
          <w:lang w:eastAsia="ru-RU"/>
        </w:rPr>
        <w:t>платежей новой современной оргтехникой, а также замена устаревшего оборудования по предприятию</w:t>
      </w:r>
      <w:r w:rsidR="00E54E3E" w:rsidRPr="00E54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4E3E" w:rsidRPr="00DE16E9">
        <w:rPr>
          <w:rFonts w:ascii="Times New Roman" w:hAnsi="Times New Roman"/>
          <w:sz w:val="24"/>
          <w:szCs w:val="24"/>
          <w:lang w:eastAsia="ru-RU"/>
        </w:rPr>
        <w:t>в целом</w:t>
      </w:r>
      <w:r w:rsidRPr="00DE16E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E16E9" w:rsidRPr="00DE16E9" w:rsidRDefault="00DE16E9" w:rsidP="00DE1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6E9">
        <w:rPr>
          <w:rFonts w:ascii="Times New Roman" w:hAnsi="Times New Roman"/>
          <w:sz w:val="24"/>
          <w:szCs w:val="24"/>
          <w:lang w:eastAsia="ru-RU"/>
        </w:rPr>
        <w:t>На основании вышеизложенного целями настоящего инвестиционного проекта является улучшение предприятием своей внутренней работы, а именно: более надёжного хранения накопившейся информации о потребителях, своевременной печати счетов-извещений, сокращения времени на обслуживание одного клиента, обслуживания большего количества абонентов, а также улучшения объёма и качества предоставляемых услуг и снижения уровня дебиторской задолженности.</w:t>
      </w:r>
    </w:p>
    <w:p w:rsidR="00DE16E9" w:rsidRPr="00DE16E9" w:rsidRDefault="00DE16E9" w:rsidP="00DE1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3115" w:rsidRDefault="00263115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263115" w:rsidSect="00263115">
          <w:pgSz w:w="11906" w:h="16838"/>
          <w:pgMar w:top="289" w:right="567" w:bottom="295" w:left="992" w:header="709" w:footer="709" w:gutter="0"/>
          <w:cols w:space="708"/>
          <w:docGrid w:linePitch="360"/>
        </w:sectPr>
      </w:pPr>
    </w:p>
    <w:p w:rsidR="00DE16E9" w:rsidRPr="00B26C8F" w:rsidRDefault="00B26C8F" w:rsidP="00BF072C">
      <w:pPr>
        <w:spacing w:after="0" w:line="240" w:lineRule="auto"/>
        <w:ind w:firstLine="400"/>
        <w:jc w:val="center"/>
        <w:rPr>
          <w:rFonts w:ascii="Times New Roman" w:hAnsi="Times New Roman"/>
          <w:b/>
          <w:color w:val="FF0000"/>
          <w:sz w:val="24"/>
          <w:szCs w:val="24"/>
          <w:lang w:val="en-US" w:eastAsia="ru-RU"/>
        </w:rPr>
      </w:pPr>
      <w:r w:rsidRPr="00B26C8F">
        <w:rPr>
          <w:noProof/>
          <w:lang w:eastAsia="ru-RU"/>
        </w:rPr>
        <w:lastRenderedPageBreak/>
        <w:drawing>
          <wp:inline distT="0" distB="0" distL="0" distR="0" wp14:anchorId="22352BC1" wp14:editId="6CDC6254">
            <wp:extent cx="9655200" cy="55296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200" cy="55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6E9" w:rsidRPr="00B26C8F" w:rsidSect="00AA009F">
      <w:pgSz w:w="16838" w:h="11906" w:orient="landscape"/>
      <w:pgMar w:top="992" w:right="567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F5" w:rsidRDefault="005C18F5" w:rsidP="005C18F5">
      <w:pPr>
        <w:spacing w:after="0" w:line="240" w:lineRule="auto"/>
      </w:pPr>
      <w:r>
        <w:separator/>
      </w:r>
    </w:p>
  </w:endnote>
  <w:endnote w:type="continuationSeparator" w:id="0">
    <w:p w:rsidR="005C18F5" w:rsidRDefault="005C18F5" w:rsidP="005C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F5" w:rsidRDefault="005C18F5" w:rsidP="005C18F5">
      <w:pPr>
        <w:spacing w:after="0" w:line="240" w:lineRule="auto"/>
      </w:pPr>
      <w:r>
        <w:separator/>
      </w:r>
    </w:p>
  </w:footnote>
  <w:footnote w:type="continuationSeparator" w:id="0">
    <w:p w:rsidR="005C18F5" w:rsidRDefault="005C18F5" w:rsidP="005C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622"/>
    <w:multiLevelType w:val="hybridMultilevel"/>
    <w:tmpl w:val="720A6346"/>
    <w:lvl w:ilvl="0" w:tplc="12F22C7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302F68"/>
    <w:multiLevelType w:val="multilevel"/>
    <w:tmpl w:val="A6F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B6D03"/>
    <w:multiLevelType w:val="hybridMultilevel"/>
    <w:tmpl w:val="D52A6E76"/>
    <w:lvl w:ilvl="0" w:tplc="8DDA4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геев Андрей Михайлович">
    <w15:presenceInfo w15:providerId="AD" w15:userId="S-1-5-21-1417001333-1897051121-682003330-7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34278"/>
    <w:rsid w:val="00056EC2"/>
    <w:rsid w:val="0010557B"/>
    <w:rsid w:val="00117BE8"/>
    <w:rsid w:val="0012235A"/>
    <w:rsid w:val="001830BE"/>
    <w:rsid w:val="001C6573"/>
    <w:rsid w:val="001F2308"/>
    <w:rsid w:val="00232979"/>
    <w:rsid w:val="00263115"/>
    <w:rsid w:val="00285D91"/>
    <w:rsid w:val="00361BCE"/>
    <w:rsid w:val="00376930"/>
    <w:rsid w:val="003F2565"/>
    <w:rsid w:val="00402D44"/>
    <w:rsid w:val="0041397E"/>
    <w:rsid w:val="004A535D"/>
    <w:rsid w:val="004D449C"/>
    <w:rsid w:val="004D6441"/>
    <w:rsid w:val="004D6F91"/>
    <w:rsid w:val="005C18F5"/>
    <w:rsid w:val="005C5074"/>
    <w:rsid w:val="005D58E3"/>
    <w:rsid w:val="00642B7B"/>
    <w:rsid w:val="00662A20"/>
    <w:rsid w:val="00684236"/>
    <w:rsid w:val="006878D3"/>
    <w:rsid w:val="0069285E"/>
    <w:rsid w:val="00752902"/>
    <w:rsid w:val="007843BB"/>
    <w:rsid w:val="007B1218"/>
    <w:rsid w:val="00805CE1"/>
    <w:rsid w:val="008275ED"/>
    <w:rsid w:val="008E7938"/>
    <w:rsid w:val="00913276"/>
    <w:rsid w:val="0091506F"/>
    <w:rsid w:val="00995964"/>
    <w:rsid w:val="009A18B8"/>
    <w:rsid w:val="009A675B"/>
    <w:rsid w:val="009C64B0"/>
    <w:rsid w:val="00A8180C"/>
    <w:rsid w:val="00AA009F"/>
    <w:rsid w:val="00AA419F"/>
    <w:rsid w:val="00B1184D"/>
    <w:rsid w:val="00B26C8F"/>
    <w:rsid w:val="00B46E52"/>
    <w:rsid w:val="00B72E48"/>
    <w:rsid w:val="00BD6EA8"/>
    <w:rsid w:val="00BE4B25"/>
    <w:rsid w:val="00BF072C"/>
    <w:rsid w:val="00C07A34"/>
    <w:rsid w:val="00C5336E"/>
    <w:rsid w:val="00D0373F"/>
    <w:rsid w:val="00D03BEF"/>
    <w:rsid w:val="00DC0A58"/>
    <w:rsid w:val="00DC2173"/>
    <w:rsid w:val="00DE16E9"/>
    <w:rsid w:val="00E25F09"/>
    <w:rsid w:val="00E43B6C"/>
    <w:rsid w:val="00E54E3E"/>
    <w:rsid w:val="00ED26D4"/>
    <w:rsid w:val="00F47370"/>
    <w:rsid w:val="00F74C97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18F5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18F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3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9A18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5">
    <w:name w:val="Знак Знак Знак Знак Знак Знак Знак Знак"/>
    <w:basedOn w:val="a"/>
    <w:autoRedefine/>
    <w:rsid w:val="009A18B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bodytext2">
    <w:name w:val="bodytext2"/>
    <w:basedOn w:val="a"/>
    <w:rsid w:val="009A18B8"/>
    <w:pPr>
      <w:autoSpaceDE w:val="0"/>
      <w:autoSpaceDN w:val="0"/>
      <w:spacing w:after="0" w:line="240" w:lineRule="auto"/>
      <w:ind w:firstLine="1134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A18B8"/>
    <w:pPr>
      <w:ind w:left="720"/>
      <w:contextualSpacing/>
    </w:pPr>
  </w:style>
  <w:style w:type="paragraph" w:customStyle="1" w:styleId="21">
    <w:name w:val="Основной текст 21"/>
    <w:basedOn w:val="a"/>
    <w:rsid w:val="00D0373F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a7">
    <w:name w:val="Знак Знак Знак Знак Знак Знак Знак Знак"/>
    <w:basedOn w:val="a"/>
    <w:autoRedefine/>
    <w:rsid w:val="00D037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8">
    <w:name w:val="Знак Знак Знак Знак Знак Знак Знак Знак"/>
    <w:basedOn w:val="a"/>
    <w:autoRedefine/>
    <w:rsid w:val="005C50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9">
    <w:name w:val="Table Grid"/>
    <w:basedOn w:val="a1"/>
    <w:uiPriority w:val="59"/>
    <w:rsid w:val="00B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4737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47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"/>
    <w:basedOn w:val="a"/>
    <w:autoRedefine/>
    <w:rsid w:val="0091327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d">
    <w:name w:val="Знак Знак Знак Знак Знак Знак Знак Знак"/>
    <w:basedOn w:val="a"/>
    <w:autoRedefine/>
    <w:rsid w:val="00B1184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361B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1BCE"/>
    <w:rPr>
      <w:rFonts w:ascii="Calibri" w:eastAsia="Times New Roman" w:hAnsi="Calibri" w:cs="Times New Roman"/>
    </w:rPr>
  </w:style>
  <w:style w:type="paragraph" w:customStyle="1" w:styleId="ae">
    <w:name w:val="Знак Знак Знак Знак Знак Знак Знак Знак"/>
    <w:basedOn w:val="a"/>
    <w:autoRedefine/>
    <w:rsid w:val="00361BC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">
    <w:name w:val="header"/>
    <w:basedOn w:val="a"/>
    <w:link w:val="af0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18F5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5C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18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76EF-8B57-429C-BEFA-BBE1CE0B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Шевелева Раиса Есимовна</cp:lastModifiedBy>
  <cp:revision>9</cp:revision>
  <cp:lastPrinted>2019-04-17T08:22:00Z</cp:lastPrinted>
  <dcterms:created xsi:type="dcterms:W3CDTF">2019-04-17T06:22:00Z</dcterms:created>
  <dcterms:modified xsi:type="dcterms:W3CDTF">2019-04-17T08:24:00Z</dcterms:modified>
</cp:coreProperties>
</file>